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42DB" w14:textId="77777777" w:rsidR="00E12F99" w:rsidRPr="00061ADD" w:rsidRDefault="00E12F99" w:rsidP="00E12F99"/>
    <w:p w14:paraId="09EA6401" w14:textId="0E8FC284" w:rsidR="006462AA" w:rsidRDefault="00D71B87" w:rsidP="00616082">
      <w:pPr>
        <w:jc w:val="center"/>
      </w:pPr>
      <w:r>
        <w:rPr>
          <w:noProof/>
        </w:rPr>
        <w:drawing>
          <wp:inline distT="0" distB="0" distL="0" distR="0" wp14:anchorId="3C260311" wp14:editId="19507719">
            <wp:extent cx="4316095" cy="1847215"/>
            <wp:effectExtent l="0" t="0" r="8255" b="635"/>
            <wp:docPr id="1392884823" name="Picture 1392884823"/>
            <wp:cNvGraphicFramePr/>
            <a:graphic xmlns:a="http://schemas.openxmlformats.org/drawingml/2006/main">
              <a:graphicData uri="http://schemas.openxmlformats.org/drawingml/2006/picture">
                <pic:pic xmlns:pic="http://schemas.openxmlformats.org/drawingml/2006/picture">
                  <pic:nvPicPr>
                    <pic:cNvPr id="1392884823" name="Picture 1392884823"/>
                    <pic:cNvPicPr/>
                  </pic:nvPicPr>
                  <pic:blipFill>
                    <a:blip r:embed="rId11">
                      <a:extLst>
                        <a:ext uri="{28A0092B-C50C-407E-A947-70E740481C1C}">
                          <a14:useLocalDpi xmlns:a14="http://schemas.microsoft.com/office/drawing/2010/main" val="0"/>
                        </a:ext>
                      </a:extLst>
                    </a:blip>
                    <a:stretch>
                      <a:fillRect/>
                    </a:stretch>
                  </pic:blipFill>
                  <pic:spPr>
                    <a:xfrm>
                      <a:off x="0" y="0"/>
                      <a:ext cx="4316095" cy="1847215"/>
                    </a:xfrm>
                    <a:prstGeom prst="rect">
                      <a:avLst/>
                    </a:prstGeom>
                  </pic:spPr>
                </pic:pic>
              </a:graphicData>
            </a:graphic>
          </wp:inline>
        </w:drawing>
      </w:r>
    </w:p>
    <w:p w14:paraId="45FBF905" w14:textId="77777777" w:rsidR="006462AA" w:rsidRDefault="006462AA" w:rsidP="00616082">
      <w:pPr>
        <w:jc w:val="center"/>
      </w:pPr>
    </w:p>
    <w:p w14:paraId="54107F9B" w14:textId="6653E90D" w:rsidR="00343E99" w:rsidRDefault="00343E99" w:rsidP="00616082">
      <w:pPr>
        <w:jc w:val="center"/>
      </w:pPr>
    </w:p>
    <w:p w14:paraId="3C2085F1" w14:textId="364D2A91" w:rsidR="00D71B87" w:rsidRDefault="00D71B87" w:rsidP="00616082">
      <w:pPr>
        <w:jc w:val="center"/>
      </w:pPr>
    </w:p>
    <w:p w14:paraId="4966C9A0" w14:textId="5F07EBF2" w:rsidR="00D71B87" w:rsidRDefault="00D71B87" w:rsidP="00616082">
      <w:pPr>
        <w:jc w:val="center"/>
      </w:pPr>
    </w:p>
    <w:p w14:paraId="4DF387D8" w14:textId="77777777" w:rsidR="00D71B87" w:rsidRDefault="00D71B87" w:rsidP="00616082">
      <w:pPr>
        <w:jc w:val="center"/>
      </w:pPr>
    </w:p>
    <w:p w14:paraId="1904C05A" w14:textId="77777777" w:rsidR="00D71B87" w:rsidRDefault="00D71B87" w:rsidP="006462AA">
      <w:pPr>
        <w:spacing w:after="160" w:line="259" w:lineRule="auto"/>
        <w:ind w:right="0"/>
        <w:jc w:val="center"/>
        <w:rPr>
          <w:rStyle w:val="Heading2Char"/>
          <w:rFonts w:ascii="Arial" w:hAnsi="Arial" w:cs="Arial"/>
          <w:sz w:val="52"/>
          <w:szCs w:val="52"/>
        </w:rPr>
      </w:pPr>
    </w:p>
    <w:p w14:paraId="48CA4876" w14:textId="3ACB017C" w:rsidR="007F3E09" w:rsidRPr="006462AA" w:rsidRDefault="007F3E09" w:rsidP="006462AA">
      <w:pPr>
        <w:spacing w:after="160" w:line="259" w:lineRule="auto"/>
        <w:ind w:right="0"/>
        <w:jc w:val="center"/>
        <w:rPr>
          <w:rStyle w:val="Heading2Char"/>
          <w:rFonts w:ascii="Arial" w:hAnsi="Arial" w:cs="Arial"/>
          <w:sz w:val="52"/>
          <w:szCs w:val="52"/>
        </w:rPr>
      </w:pPr>
      <w:r w:rsidRPr="006462AA">
        <w:rPr>
          <w:rStyle w:val="Heading2Char"/>
          <w:rFonts w:ascii="Arial" w:hAnsi="Arial" w:cs="Arial"/>
          <w:sz w:val="52"/>
          <w:szCs w:val="52"/>
        </w:rPr>
        <w:t>Ironstone Academy Trust</w:t>
      </w:r>
    </w:p>
    <w:p w14:paraId="134AABFD" w14:textId="70062C34" w:rsidR="007F3E09" w:rsidRPr="006462AA" w:rsidRDefault="007F3E09" w:rsidP="006462AA">
      <w:pPr>
        <w:spacing w:after="160" w:line="259" w:lineRule="auto"/>
        <w:ind w:right="0"/>
        <w:jc w:val="center"/>
        <w:rPr>
          <w:rStyle w:val="Heading2Char"/>
          <w:rFonts w:ascii="Arial" w:hAnsi="Arial" w:cs="Arial"/>
          <w:sz w:val="52"/>
          <w:szCs w:val="52"/>
        </w:rPr>
      </w:pPr>
      <w:r w:rsidRPr="006462AA">
        <w:rPr>
          <w:rStyle w:val="Heading2Char"/>
          <w:rFonts w:ascii="Arial" w:hAnsi="Arial" w:cs="Arial"/>
          <w:sz w:val="52"/>
          <w:szCs w:val="52"/>
        </w:rPr>
        <w:t>Whistleblowing Policy</w:t>
      </w:r>
    </w:p>
    <w:p w14:paraId="79E6D3CF" w14:textId="1747D563" w:rsidR="00343E99" w:rsidRDefault="00343E99" w:rsidP="00616082"/>
    <w:p w14:paraId="39D1FDEC" w14:textId="48072119" w:rsidR="007F3E09" w:rsidRDefault="007F3E09" w:rsidP="00616082"/>
    <w:p w14:paraId="548D982B" w14:textId="57138C86" w:rsidR="007F3E09" w:rsidRDefault="007F3E09" w:rsidP="00616082"/>
    <w:p w14:paraId="2402E7E5" w14:textId="1E86EF4B" w:rsidR="007F3E09" w:rsidRDefault="007F3E09" w:rsidP="00616082"/>
    <w:p w14:paraId="3996E571" w14:textId="0F07B05E" w:rsidR="007F3E09" w:rsidRDefault="007F3E09" w:rsidP="00616082"/>
    <w:p w14:paraId="3505BF9F" w14:textId="77777777" w:rsidR="00D71B87" w:rsidRDefault="00D71B87" w:rsidP="00616082"/>
    <w:p w14:paraId="5780F0ED" w14:textId="08A79189" w:rsidR="007F3E09" w:rsidRDefault="007F3E09" w:rsidP="00616082"/>
    <w:p w14:paraId="690327B3" w14:textId="3916EC19" w:rsidR="007F3E09" w:rsidRDefault="007F3E09" w:rsidP="00616082"/>
    <w:p w14:paraId="3F6C4E67" w14:textId="73A93FB2" w:rsidR="007F3E09" w:rsidRDefault="007F3E09" w:rsidP="00616082"/>
    <w:p w14:paraId="3EFD89B9" w14:textId="77777777" w:rsidR="00D71B87" w:rsidRDefault="00D71B87" w:rsidP="00D71B87">
      <w:pPr>
        <w:ind w:right="0"/>
      </w:pPr>
    </w:p>
    <w:p w14:paraId="2758B0E6" w14:textId="77777777" w:rsidR="00343E99" w:rsidRDefault="00343E99" w:rsidP="00616082">
      <w:pPr>
        <w:pStyle w:val="NoSpacing"/>
        <w:spacing w:before="40" w:after="40"/>
        <w:rPr>
          <w:caps/>
          <w:sz w:val="24"/>
          <w:szCs w:val="24"/>
        </w:rPr>
      </w:pPr>
    </w:p>
    <w:tbl>
      <w:tblPr>
        <w:tblW w:w="0" w:type="auto"/>
        <w:tblInd w:w="27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79"/>
        <w:gridCol w:w="3660"/>
      </w:tblGrid>
      <w:tr w:rsidR="00D71B87" w14:paraId="61BEC892" w14:textId="77777777" w:rsidTr="387707F3">
        <w:trPr>
          <w:trHeight w:val="300"/>
        </w:trPr>
        <w:tc>
          <w:tcPr>
            <w:tcW w:w="597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46CF054" w14:textId="3C84630E" w:rsidR="00D71B87" w:rsidRDefault="00D71B87">
            <w:pPr>
              <w:ind w:left="170"/>
              <w:rPr>
                <w:rFonts w:eastAsia="Arial" w:cs="Arial"/>
                <w:color w:val="000000" w:themeColor="text1"/>
                <w:sz w:val="20"/>
                <w:szCs w:val="20"/>
                <w:lang w:val="en-US"/>
              </w:rPr>
            </w:pPr>
            <w:r>
              <w:rPr>
                <w:rFonts w:eastAsia="Arial" w:cs="Arial"/>
                <w:color w:val="000000" w:themeColor="text1"/>
                <w:sz w:val="20"/>
                <w:szCs w:val="20"/>
              </w:rPr>
              <w:t>Policy applies to</w:t>
            </w:r>
          </w:p>
        </w:tc>
        <w:tc>
          <w:tcPr>
            <w:tcW w:w="3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24CA766" w14:textId="6BBE7504" w:rsidR="00D71B87" w:rsidRDefault="00D71B87">
            <w:pPr>
              <w:ind w:left="170"/>
              <w:jc w:val="right"/>
              <w:rPr>
                <w:rFonts w:eastAsia="Arial" w:cs="Arial"/>
                <w:color w:val="000000" w:themeColor="text1"/>
                <w:sz w:val="20"/>
                <w:szCs w:val="20"/>
                <w:lang w:val="en-US"/>
              </w:rPr>
            </w:pPr>
            <w:r>
              <w:rPr>
                <w:rFonts w:eastAsia="Arial" w:cs="Arial"/>
                <w:color w:val="000000" w:themeColor="text1"/>
                <w:sz w:val="20"/>
                <w:szCs w:val="20"/>
              </w:rPr>
              <w:t>All staff</w:t>
            </w:r>
          </w:p>
        </w:tc>
      </w:tr>
      <w:tr w:rsidR="00D71B87" w14:paraId="70EAB5B8" w14:textId="77777777" w:rsidTr="387707F3">
        <w:trPr>
          <w:trHeight w:val="300"/>
        </w:trPr>
        <w:tc>
          <w:tcPr>
            <w:tcW w:w="597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F2ADF62" w14:textId="5B046576" w:rsidR="00D71B87" w:rsidRDefault="00D71B87" w:rsidP="00D71B87">
            <w:pPr>
              <w:ind w:left="170"/>
              <w:rPr>
                <w:rFonts w:eastAsia="Arial" w:cs="Arial"/>
                <w:color w:val="000000" w:themeColor="text1"/>
                <w:sz w:val="20"/>
                <w:szCs w:val="20"/>
              </w:rPr>
            </w:pPr>
            <w:r>
              <w:rPr>
                <w:rFonts w:eastAsia="Arial" w:cs="Arial"/>
                <w:color w:val="000000" w:themeColor="text1"/>
                <w:sz w:val="20"/>
                <w:szCs w:val="20"/>
              </w:rPr>
              <w:t>Issued by</w:t>
            </w:r>
          </w:p>
        </w:tc>
        <w:tc>
          <w:tcPr>
            <w:tcW w:w="3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AC8B594" w14:textId="52B54E89" w:rsidR="00D71B87" w:rsidRDefault="00D71B87" w:rsidP="00D71B87">
            <w:pPr>
              <w:ind w:left="170"/>
              <w:jc w:val="right"/>
              <w:rPr>
                <w:rFonts w:eastAsia="Arial" w:cs="Arial"/>
                <w:color w:val="000000" w:themeColor="text1"/>
                <w:sz w:val="20"/>
                <w:szCs w:val="20"/>
              </w:rPr>
            </w:pPr>
            <w:r>
              <w:rPr>
                <w:rFonts w:eastAsia="Arial" w:cs="Arial"/>
                <w:color w:val="000000" w:themeColor="text1"/>
                <w:sz w:val="20"/>
                <w:szCs w:val="20"/>
              </w:rPr>
              <w:t>Carl Faulkner CEO</w:t>
            </w:r>
          </w:p>
        </w:tc>
      </w:tr>
      <w:tr w:rsidR="00D71B87" w14:paraId="5556EAD3" w14:textId="77777777" w:rsidTr="387707F3">
        <w:trPr>
          <w:trHeight w:val="300"/>
        </w:trPr>
        <w:tc>
          <w:tcPr>
            <w:tcW w:w="597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6F21850B" w14:textId="77777777" w:rsidR="00D71B87" w:rsidRDefault="00D71B87">
            <w:pPr>
              <w:ind w:left="170"/>
              <w:rPr>
                <w:rFonts w:eastAsia="Arial" w:cs="Arial"/>
                <w:color w:val="000000" w:themeColor="text1"/>
                <w:sz w:val="20"/>
                <w:szCs w:val="20"/>
                <w:lang w:val="en-US"/>
              </w:rPr>
            </w:pPr>
            <w:r>
              <w:rPr>
                <w:rFonts w:eastAsia="Arial" w:cs="Arial"/>
                <w:color w:val="000000" w:themeColor="text1"/>
                <w:sz w:val="20"/>
                <w:szCs w:val="20"/>
              </w:rPr>
              <w:t>Issue date</w:t>
            </w:r>
          </w:p>
        </w:tc>
        <w:tc>
          <w:tcPr>
            <w:tcW w:w="3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3F9E86F" w14:textId="14C5CC4B" w:rsidR="00D71B87" w:rsidRDefault="00D71B87">
            <w:pPr>
              <w:ind w:left="170"/>
              <w:jc w:val="right"/>
              <w:rPr>
                <w:rFonts w:eastAsia="Arial" w:cs="Arial"/>
                <w:color w:val="000000" w:themeColor="text1"/>
                <w:sz w:val="20"/>
                <w:szCs w:val="20"/>
                <w:lang w:val="en-US"/>
              </w:rPr>
            </w:pPr>
            <w:r>
              <w:rPr>
                <w:rFonts w:eastAsia="Arial" w:cs="Arial"/>
                <w:color w:val="000000" w:themeColor="text1"/>
                <w:sz w:val="20"/>
                <w:szCs w:val="20"/>
              </w:rPr>
              <w:t>September 202</w:t>
            </w:r>
            <w:r w:rsidR="001534DD">
              <w:rPr>
                <w:rFonts w:eastAsia="Arial" w:cs="Arial"/>
                <w:color w:val="000000" w:themeColor="text1"/>
                <w:sz w:val="20"/>
                <w:szCs w:val="20"/>
              </w:rPr>
              <w:t>5</w:t>
            </w:r>
          </w:p>
        </w:tc>
      </w:tr>
      <w:tr w:rsidR="00D71B87" w14:paraId="04D5F2F2" w14:textId="77777777" w:rsidTr="387707F3">
        <w:trPr>
          <w:trHeight w:val="300"/>
        </w:trPr>
        <w:tc>
          <w:tcPr>
            <w:tcW w:w="597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27B8E47" w14:textId="77777777" w:rsidR="00D71B87" w:rsidRDefault="00D71B87">
            <w:pPr>
              <w:ind w:left="170"/>
              <w:rPr>
                <w:rFonts w:eastAsia="Arial" w:cs="Arial"/>
                <w:color w:val="000000" w:themeColor="text1"/>
                <w:sz w:val="20"/>
                <w:szCs w:val="20"/>
                <w:lang w:val="en-US"/>
              </w:rPr>
            </w:pPr>
            <w:r>
              <w:rPr>
                <w:rFonts w:eastAsia="Arial" w:cs="Arial"/>
                <w:color w:val="000000" w:themeColor="text1"/>
                <w:sz w:val="20"/>
                <w:szCs w:val="20"/>
              </w:rPr>
              <w:t>Review date</w:t>
            </w:r>
          </w:p>
        </w:tc>
        <w:tc>
          <w:tcPr>
            <w:tcW w:w="3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90DE34D" w14:textId="0D273294" w:rsidR="00D71B87" w:rsidRDefault="00D71B87">
            <w:pPr>
              <w:ind w:left="170"/>
              <w:jc w:val="right"/>
              <w:rPr>
                <w:rFonts w:eastAsia="Arial" w:cs="Arial"/>
                <w:color w:val="000000" w:themeColor="text1"/>
                <w:sz w:val="20"/>
                <w:szCs w:val="20"/>
              </w:rPr>
            </w:pPr>
            <w:r>
              <w:rPr>
                <w:rFonts w:eastAsia="Arial" w:cs="Arial"/>
                <w:color w:val="000000" w:themeColor="text1"/>
                <w:sz w:val="20"/>
                <w:szCs w:val="20"/>
              </w:rPr>
              <w:t>September202</w:t>
            </w:r>
            <w:r w:rsidR="001534DD">
              <w:rPr>
                <w:rFonts w:eastAsia="Arial" w:cs="Arial"/>
                <w:color w:val="000000" w:themeColor="text1"/>
                <w:sz w:val="20"/>
                <w:szCs w:val="20"/>
              </w:rPr>
              <w:t>8</w:t>
            </w:r>
          </w:p>
        </w:tc>
      </w:tr>
    </w:tbl>
    <w:p w14:paraId="7096B535" w14:textId="77777777" w:rsidR="00343E99" w:rsidRDefault="00343E99" w:rsidP="00616082">
      <w:pPr>
        <w:pStyle w:val="NoSpacing"/>
        <w:spacing w:before="40" w:after="40"/>
        <w:rPr>
          <w:caps/>
          <w:sz w:val="24"/>
          <w:szCs w:val="24"/>
        </w:rPr>
      </w:pPr>
    </w:p>
    <w:p w14:paraId="60B2978E" w14:textId="3894F674" w:rsidR="00343E99" w:rsidRDefault="00343E99" w:rsidP="00616082">
      <w:pPr>
        <w:pStyle w:val="NoSpacing"/>
        <w:spacing w:before="40" w:after="40"/>
        <w:rPr>
          <w:caps/>
          <w:sz w:val="24"/>
          <w:szCs w:val="24"/>
        </w:rPr>
      </w:pPr>
    </w:p>
    <w:p w14:paraId="3E6D129B" w14:textId="77777777" w:rsidR="00343E99" w:rsidRDefault="00343E99" w:rsidP="00616082">
      <w:pPr>
        <w:pStyle w:val="NoSpacing"/>
        <w:spacing w:before="40" w:after="40"/>
        <w:rPr>
          <w:caps/>
          <w:sz w:val="24"/>
          <w:szCs w:val="24"/>
        </w:rPr>
      </w:pPr>
    </w:p>
    <w:p w14:paraId="1E762434" w14:textId="51346072" w:rsidR="00343E99" w:rsidRDefault="00343E99"/>
    <w:p w14:paraId="6164D0C0" w14:textId="77777777" w:rsidR="00D71B87" w:rsidRDefault="00D71B87"/>
    <w:sdt>
      <w:sdtPr>
        <w:id w:val="1501232499"/>
        <w:docPartObj>
          <w:docPartGallery w:val="Table of Contents"/>
          <w:docPartUnique/>
        </w:docPartObj>
      </w:sdtPr>
      <w:sdtEndPr>
        <w:rPr>
          <w:b/>
          <w:bCs/>
        </w:rPr>
      </w:sdtEndPr>
      <w:sdtContent>
        <w:p w14:paraId="5A22F2AC" w14:textId="77777777" w:rsidR="006C4755" w:rsidRPr="00061ADD" w:rsidRDefault="006C4755" w:rsidP="004533BA">
          <w:pPr>
            <w:spacing w:after="160" w:line="259" w:lineRule="auto"/>
            <w:ind w:right="0"/>
          </w:pPr>
        </w:p>
        <w:p w14:paraId="79C8EE0A" w14:textId="7A4F9563" w:rsidR="004533BA" w:rsidRPr="006462AA" w:rsidRDefault="004533BA" w:rsidP="004533BA">
          <w:pPr>
            <w:spacing w:after="160" w:line="259" w:lineRule="auto"/>
            <w:ind w:right="0"/>
            <w:rPr>
              <w:rStyle w:val="Heading2Char"/>
              <w:rFonts w:ascii="Arial" w:hAnsi="Arial" w:cs="Arial"/>
              <w:sz w:val="40"/>
              <w:szCs w:val="40"/>
            </w:rPr>
          </w:pPr>
          <w:bookmarkStart w:id="0" w:name="_Toc135215598"/>
          <w:r w:rsidRPr="006462AA">
            <w:rPr>
              <w:rStyle w:val="Heading2Char"/>
              <w:rFonts w:ascii="Arial" w:hAnsi="Arial" w:cs="Arial"/>
              <w:sz w:val="40"/>
              <w:szCs w:val="40"/>
            </w:rPr>
            <w:t>Contents</w:t>
          </w:r>
          <w:bookmarkEnd w:id="0"/>
        </w:p>
        <w:p w14:paraId="4081B72C" w14:textId="45A2B3D9" w:rsidR="00812DDC" w:rsidRPr="00061ADD" w:rsidRDefault="004533BA">
          <w:pPr>
            <w:pStyle w:val="TOC2"/>
            <w:tabs>
              <w:tab w:val="right" w:leader="dot" w:pos="10479"/>
            </w:tabs>
            <w:rPr>
              <w:rFonts w:asciiTheme="minorHAnsi" w:eastAsiaTheme="minorEastAsia" w:hAnsiTheme="minorHAnsi"/>
              <w:noProof/>
              <w:color w:val="auto"/>
              <w:lang w:eastAsia="en-GB"/>
            </w:rPr>
          </w:pPr>
          <w:r w:rsidRPr="00061ADD">
            <w:fldChar w:fldCharType="begin"/>
          </w:r>
          <w:r w:rsidRPr="00061ADD">
            <w:instrText xml:space="preserve"> TOC \o "1-3" \h \z \u </w:instrText>
          </w:r>
          <w:r w:rsidRPr="00061ADD">
            <w:fldChar w:fldCharType="separate"/>
          </w:r>
        </w:p>
        <w:p w14:paraId="4B5CDA9E" w14:textId="0032EBBF"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599" w:history="1">
            <w:r w:rsidR="00812DDC" w:rsidRPr="006462AA">
              <w:rPr>
                <w:rStyle w:val="Hyperlink"/>
                <w:rFonts w:eastAsia="Times New Roman"/>
                <w:noProof/>
                <w:sz w:val="24"/>
                <w:szCs w:val="24"/>
                <w:lang w:eastAsia="en-GB"/>
              </w:rPr>
              <w:t>1.</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Introduction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_Toc135215599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3</w:t>
            </w:r>
            <w:r w:rsidR="00812DDC" w:rsidRPr="006462AA">
              <w:rPr>
                <w:noProof/>
                <w:webHidden/>
                <w:sz w:val="24"/>
                <w:szCs w:val="24"/>
              </w:rPr>
              <w:fldChar w:fldCharType="end"/>
            </w:r>
          </w:hyperlink>
        </w:p>
        <w:p w14:paraId="443BABC0" w14:textId="1401BF50"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0" w:history="1">
            <w:r w:rsidR="00812DDC" w:rsidRPr="006462AA">
              <w:rPr>
                <w:rStyle w:val="Hyperlink"/>
                <w:rFonts w:eastAsia="Times New Roman"/>
                <w:noProof/>
                <w:sz w:val="24"/>
                <w:szCs w:val="24"/>
                <w:lang w:eastAsia="en-GB"/>
              </w:rPr>
              <w:t>2.</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Aims and scope of the policy</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_Toc135215600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3</w:t>
            </w:r>
            <w:r w:rsidR="00812DDC" w:rsidRPr="006462AA">
              <w:rPr>
                <w:noProof/>
                <w:webHidden/>
                <w:sz w:val="24"/>
                <w:szCs w:val="24"/>
              </w:rPr>
              <w:fldChar w:fldCharType="end"/>
            </w:r>
          </w:hyperlink>
        </w:p>
        <w:p w14:paraId="4038C21C" w14:textId="1C4DF5CF"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1" w:history="1">
            <w:r w:rsidR="00812DDC" w:rsidRPr="006462AA">
              <w:rPr>
                <w:rStyle w:val="Hyperlink"/>
                <w:rFonts w:eastAsia="Times New Roman"/>
                <w:noProof/>
                <w:sz w:val="24"/>
                <w:szCs w:val="24"/>
                <w:lang w:eastAsia="en-GB"/>
              </w:rPr>
              <w:t>3.</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Safeguards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_Toc135215601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4</w:t>
            </w:r>
            <w:r w:rsidR="00812DDC" w:rsidRPr="006462AA">
              <w:rPr>
                <w:noProof/>
                <w:webHidden/>
                <w:sz w:val="24"/>
                <w:szCs w:val="24"/>
              </w:rPr>
              <w:fldChar w:fldCharType="end"/>
            </w:r>
          </w:hyperlink>
        </w:p>
        <w:p w14:paraId="5C7B9273" w14:textId="0C0415C7"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2" w:history="1">
            <w:r w:rsidR="00812DDC" w:rsidRPr="006462AA">
              <w:rPr>
                <w:rStyle w:val="Hyperlink"/>
                <w:rFonts w:eastAsia="Times New Roman"/>
                <w:noProof/>
                <w:sz w:val="24"/>
                <w:szCs w:val="24"/>
                <w:lang w:eastAsia="en-GB"/>
              </w:rPr>
              <w:t>4.</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How to raise a concern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_Toc135215602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5</w:t>
            </w:r>
            <w:r w:rsidR="00812DDC" w:rsidRPr="006462AA">
              <w:rPr>
                <w:noProof/>
                <w:webHidden/>
                <w:sz w:val="24"/>
                <w:szCs w:val="24"/>
              </w:rPr>
              <w:fldChar w:fldCharType="end"/>
            </w:r>
          </w:hyperlink>
        </w:p>
        <w:p w14:paraId="0BAE1D4C" w14:textId="68AE129D"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3" w:history="1">
            <w:r w:rsidR="00812DDC" w:rsidRPr="006462AA">
              <w:rPr>
                <w:rStyle w:val="Hyperlink"/>
                <w:rFonts w:eastAsia="Times New Roman"/>
                <w:noProof/>
                <w:sz w:val="24"/>
                <w:szCs w:val="24"/>
                <w:lang w:eastAsia="en-GB"/>
              </w:rPr>
              <w:t>5.</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How the school will respond</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_Toc135215603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5</w:t>
            </w:r>
            <w:r w:rsidR="00812DDC" w:rsidRPr="006462AA">
              <w:rPr>
                <w:noProof/>
                <w:webHidden/>
                <w:sz w:val="24"/>
                <w:szCs w:val="24"/>
              </w:rPr>
              <w:fldChar w:fldCharType="end"/>
            </w:r>
          </w:hyperlink>
        </w:p>
        <w:p w14:paraId="31A6A615" w14:textId="029802A6"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4" w:history="1">
            <w:r w:rsidR="00812DDC" w:rsidRPr="006462AA">
              <w:rPr>
                <w:rStyle w:val="Hyperlink"/>
                <w:rFonts w:eastAsia="Times New Roman"/>
                <w:noProof/>
                <w:sz w:val="24"/>
                <w:szCs w:val="24"/>
                <w:lang w:eastAsia="en-GB"/>
              </w:rPr>
              <w:t>6.</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How matters can be taken further</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_Toc135215604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6</w:t>
            </w:r>
            <w:r w:rsidR="00812DDC" w:rsidRPr="006462AA">
              <w:rPr>
                <w:noProof/>
                <w:webHidden/>
                <w:sz w:val="24"/>
                <w:szCs w:val="24"/>
              </w:rPr>
              <w:fldChar w:fldCharType="end"/>
            </w:r>
          </w:hyperlink>
        </w:p>
        <w:p w14:paraId="613E3351" w14:textId="4ED827EA"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5" w:history="1">
            <w:r w:rsidR="00812DDC" w:rsidRPr="006462AA">
              <w:rPr>
                <w:rStyle w:val="Hyperlink"/>
                <w:rFonts w:eastAsia="Times New Roman"/>
                <w:noProof/>
                <w:sz w:val="24"/>
                <w:szCs w:val="24"/>
                <w:lang w:eastAsia="en-GB"/>
              </w:rPr>
              <w:t>7.</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Independent advice</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_Toc135215605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6</w:t>
            </w:r>
            <w:r w:rsidR="00812DDC" w:rsidRPr="006462AA">
              <w:rPr>
                <w:noProof/>
                <w:webHidden/>
                <w:sz w:val="24"/>
                <w:szCs w:val="24"/>
              </w:rPr>
              <w:fldChar w:fldCharType="end"/>
            </w:r>
          </w:hyperlink>
        </w:p>
        <w:p w14:paraId="2A439367" w14:textId="2CC1E3CB"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6" w:history="1">
            <w:r w:rsidR="00812DDC" w:rsidRPr="006462AA">
              <w:rPr>
                <w:rStyle w:val="Hyperlink"/>
                <w:rFonts w:eastAsia="Times New Roman"/>
                <w:noProof/>
                <w:sz w:val="24"/>
                <w:szCs w:val="24"/>
                <w:lang w:eastAsia="en-GB"/>
              </w:rPr>
              <w:t>8.</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General data protection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_Toc135215606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7</w:t>
            </w:r>
            <w:r w:rsidR="00812DDC" w:rsidRPr="006462AA">
              <w:rPr>
                <w:noProof/>
                <w:webHidden/>
                <w:sz w:val="24"/>
                <w:szCs w:val="24"/>
              </w:rPr>
              <w:fldChar w:fldCharType="end"/>
            </w:r>
          </w:hyperlink>
        </w:p>
        <w:p w14:paraId="7D7A9C3F" w14:textId="07486D94"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7" w:history="1">
            <w:r w:rsidR="00812DDC" w:rsidRPr="006462AA">
              <w:rPr>
                <w:rStyle w:val="Hyperlink"/>
                <w:rFonts w:eastAsia="Times New Roman"/>
                <w:noProof/>
                <w:sz w:val="24"/>
                <w:szCs w:val="24"/>
                <w:lang w:eastAsia="en-GB"/>
              </w:rPr>
              <w:t>9.</w:t>
            </w:r>
            <w:r w:rsidR="00812DDC" w:rsidRPr="006462AA">
              <w:rPr>
                <w:rFonts w:asciiTheme="minorHAnsi" w:eastAsiaTheme="minorEastAsia" w:hAnsiTheme="minorHAnsi"/>
                <w:noProof/>
                <w:color w:val="auto"/>
                <w:sz w:val="24"/>
                <w:szCs w:val="24"/>
                <w:lang w:eastAsia="en-GB"/>
              </w:rPr>
              <w:tab/>
            </w:r>
            <w:r w:rsidR="00812DDC" w:rsidRPr="006462AA">
              <w:rPr>
                <w:rStyle w:val="Hyperlink"/>
                <w:rFonts w:eastAsia="Times New Roman"/>
                <w:noProof/>
                <w:sz w:val="24"/>
                <w:szCs w:val="24"/>
                <w:lang w:eastAsia="en-GB"/>
              </w:rPr>
              <w:t>Review of the policy</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_Toc135215607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7</w:t>
            </w:r>
            <w:r w:rsidR="00812DDC" w:rsidRPr="006462AA">
              <w:rPr>
                <w:noProof/>
                <w:webHidden/>
                <w:sz w:val="24"/>
                <w:szCs w:val="24"/>
              </w:rPr>
              <w:fldChar w:fldCharType="end"/>
            </w:r>
          </w:hyperlink>
        </w:p>
        <w:p w14:paraId="63C9282D" w14:textId="2986B6CA" w:rsidR="00812DDC" w:rsidRPr="006462AA" w:rsidRDefault="004A3144">
          <w:pPr>
            <w:pStyle w:val="TOC1"/>
            <w:tabs>
              <w:tab w:val="right" w:leader="dot" w:pos="10479"/>
            </w:tabs>
            <w:rPr>
              <w:rFonts w:asciiTheme="minorHAnsi" w:eastAsiaTheme="minorEastAsia" w:hAnsiTheme="minorHAnsi"/>
              <w:noProof/>
              <w:color w:val="auto"/>
              <w:sz w:val="24"/>
              <w:szCs w:val="24"/>
              <w:lang w:eastAsia="en-GB"/>
            </w:rPr>
          </w:pPr>
          <w:hyperlink w:anchor="_Toc135215608" w:history="1">
            <w:r w:rsidR="00812DDC" w:rsidRPr="006462AA">
              <w:rPr>
                <w:rStyle w:val="Hyperlink"/>
                <w:noProof/>
                <w:sz w:val="24"/>
                <w:szCs w:val="24"/>
              </w:rPr>
              <w:t>Appendix A: Managers’ Guidance on Whistleblowing</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_Toc135215608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8</w:t>
            </w:r>
            <w:r w:rsidR="00812DDC" w:rsidRPr="006462AA">
              <w:rPr>
                <w:noProof/>
                <w:webHidden/>
                <w:sz w:val="24"/>
                <w:szCs w:val="24"/>
              </w:rPr>
              <w:fldChar w:fldCharType="end"/>
            </w:r>
          </w:hyperlink>
        </w:p>
        <w:p w14:paraId="371739F6" w14:textId="36DECF04"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09" w:history="1">
            <w:r w:rsidR="00812DDC" w:rsidRPr="006462AA">
              <w:rPr>
                <w:rStyle w:val="Hyperlink"/>
                <w:noProof/>
                <w:sz w:val="24"/>
                <w:szCs w:val="24"/>
              </w:rPr>
              <w:t>1.</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Introduction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_Toc135215609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8</w:t>
            </w:r>
            <w:r w:rsidR="00812DDC" w:rsidRPr="006462AA">
              <w:rPr>
                <w:noProof/>
                <w:webHidden/>
                <w:sz w:val="24"/>
                <w:szCs w:val="24"/>
              </w:rPr>
              <w:fldChar w:fldCharType="end"/>
            </w:r>
          </w:hyperlink>
        </w:p>
        <w:p w14:paraId="111776A0" w14:textId="6F5C74A5"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10" w:history="1">
            <w:r w:rsidR="00812DDC" w:rsidRPr="006462AA">
              <w:rPr>
                <w:rStyle w:val="Hyperlink"/>
                <w:noProof/>
                <w:sz w:val="24"/>
                <w:szCs w:val="24"/>
              </w:rPr>
              <w:t>2.</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What is a whistleblowing complaint?</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_Toc135215610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8</w:t>
            </w:r>
            <w:r w:rsidR="00812DDC" w:rsidRPr="006462AA">
              <w:rPr>
                <w:noProof/>
                <w:webHidden/>
                <w:sz w:val="24"/>
                <w:szCs w:val="24"/>
              </w:rPr>
              <w:fldChar w:fldCharType="end"/>
            </w:r>
          </w:hyperlink>
        </w:p>
        <w:p w14:paraId="4C2E8CF3" w14:textId="4E3687D8"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11" w:history="1">
            <w:r w:rsidR="00812DDC" w:rsidRPr="006462AA">
              <w:rPr>
                <w:rStyle w:val="Hyperlink"/>
                <w:noProof/>
                <w:sz w:val="24"/>
                <w:szCs w:val="24"/>
              </w:rPr>
              <w:t>3.</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Reporting receipt of a whistleblowing concern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_Toc135215611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8</w:t>
            </w:r>
            <w:r w:rsidR="00812DDC" w:rsidRPr="006462AA">
              <w:rPr>
                <w:noProof/>
                <w:webHidden/>
                <w:sz w:val="24"/>
                <w:szCs w:val="24"/>
              </w:rPr>
              <w:fldChar w:fldCharType="end"/>
            </w:r>
          </w:hyperlink>
        </w:p>
        <w:p w14:paraId="30E2224A" w14:textId="14879CEB"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12" w:history="1">
            <w:r w:rsidR="00812DDC" w:rsidRPr="006462AA">
              <w:rPr>
                <w:rStyle w:val="Hyperlink"/>
                <w:noProof/>
                <w:sz w:val="24"/>
                <w:szCs w:val="24"/>
              </w:rPr>
              <w:t>4.</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Taking a concern forward</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_Toc135215612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9</w:t>
            </w:r>
            <w:r w:rsidR="00812DDC" w:rsidRPr="006462AA">
              <w:rPr>
                <w:noProof/>
                <w:webHidden/>
                <w:sz w:val="24"/>
                <w:szCs w:val="24"/>
              </w:rPr>
              <w:fldChar w:fldCharType="end"/>
            </w:r>
          </w:hyperlink>
        </w:p>
        <w:p w14:paraId="6E4A4CD1" w14:textId="38A937FF"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13" w:history="1">
            <w:r w:rsidR="00812DDC" w:rsidRPr="006462AA">
              <w:rPr>
                <w:rStyle w:val="Hyperlink"/>
                <w:noProof/>
                <w:sz w:val="24"/>
                <w:szCs w:val="24"/>
              </w:rPr>
              <w:t>5.</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Conducting an investigation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_Toc135215613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9</w:t>
            </w:r>
            <w:r w:rsidR="00812DDC" w:rsidRPr="006462AA">
              <w:rPr>
                <w:noProof/>
                <w:webHidden/>
                <w:sz w:val="24"/>
                <w:szCs w:val="24"/>
              </w:rPr>
              <w:fldChar w:fldCharType="end"/>
            </w:r>
          </w:hyperlink>
        </w:p>
        <w:p w14:paraId="3371E942" w14:textId="03DF405E" w:rsidR="00812DDC" w:rsidRPr="006462AA" w:rsidRDefault="004A3144">
          <w:pPr>
            <w:pStyle w:val="TOC2"/>
            <w:tabs>
              <w:tab w:val="left" w:pos="660"/>
              <w:tab w:val="right" w:leader="dot" w:pos="10479"/>
            </w:tabs>
            <w:rPr>
              <w:rFonts w:asciiTheme="minorHAnsi" w:eastAsiaTheme="minorEastAsia" w:hAnsiTheme="minorHAnsi"/>
              <w:noProof/>
              <w:color w:val="auto"/>
              <w:sz w:val="24"/>
              <w:szCs w:val="24"/>
              <w:lang w:eastAsia="en-GB"/>
            </w:rPr>
          </w:pPr>
          <w:hyperlink w:anchor="_Toc135215614" w:history="1">
            <w:r w:rsidR="00812DDC" w:rsidRPr="006462AA">
              <w:rPr>
                <w:rStyle w:val="Hyperlink"/>
                <w:noProof/>
                <w:sz w:val="24"/>
                <w:szCs w:val="24"/>
              </w:rPr>
              <w:t>6.</w:t>
            </w:r>
            <w:r w:rsidR="00812DDC" w:rsidRPr="006462AA">
              <w:rPr>
                <w:rFonts w:asciiTheme="minorHAnsi" w:eastAsiaTheme="minorEastAsia" w:hAnsiTheme="minorHAnsi"/>
                <w:noProof/>
                <w:color w:val="auto"/>
                <w:sz w:val="24"/>
                <w:szCs w:val="24"/>
                <w:lang w:eastAsia="en-GB"/>
              </w:rPr>
              <w:tab/>
            </w:r>
            <w:r w:rsidR="00812DDC" w:rsidRPr="006462AA">
              <w:rPr>
                <w:rStyle w:val="Hyperlink"/>
                <w:noProof/>
                <w:sz w:val="24"/>
                <w:szCs w:val="24"/>
              </w:rPr>
              <w:t>Special Circumstances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_Toc135215614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10</w:t>
            </w:r>
            <w:r w:rsidR="00812DDC" w:rsidRPr="006462AA">
              <w:rPr>
                <w:noProof/>
                <w:webHidden/>
                <w:sz w:val="24"/>
                <w:szCs w:val="24"/>
              </w:rPr>
              <w:fldChar w:fldCharType="end"/>
            </w:r>
          </w:hyperlink>
        </w:p>
        <w:p w14:paraId="340E6238" w14:textId="0AE2E96E"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15" w:history="1">
            <w:r w:rsidR="00812DDC" w:rsidRPr="006462AA">
              <w:rPr>
                <w:rStyle w:val="Hyperlink"/>
                <w:noProof/>
                <w:sz w:val="24"/>
                <w:szCs w:val="24"/>
              </w:rPr>
              <w:t>Safeguarding Concerns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_Toc135215615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10</w:t>
            </w:r>
            <w:r w:rsidR="00812DDC" w:rsidRPr="006462AA">
              <w:rPr>
                <w:noProof/>
                <w:webHidden/>
                <w:sz w:val="24"/>
                <w:szCs w:val="24"/>
              </w:rPr>
              <w:fldChar w:fldCharType="end"/>
            </w:r>
          </w:hyperlink>
        </w:p>
        <w:p w14:paraId="26DABEA2" w14:textId="32194749"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16" w:history="1">
            <w:r w:rsidR="00812DDC" w:rsidRPr="006462AA">
              <w:rPr>
                <w:rStyle w:val="Hyperlink"/>
                <w:noProof/>
                <w:sz w:val="24"/>
                <w:szCs w:val="24"/>
              </w:rPr>
              <w:t>Anonymous Concerns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_Toc135215616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10</w:t>
            </w:r>
            <w:r w:rsidR="00812DDC" w:rsidRPr="006462AA">
              <w:rPr>
                <w:noProof/>
                <w:webHidden/>
                <w:sz w:val="24"/>
                <w:szCs w:val="24"/>
              </w:rPr>
              <w:fldChar w:fldCharType="end"/>
            </w:r>
          </w:hyperlink>
        </w:p>
        <w:p w14:paraId="30D020D9" w14:textId="6F8C43CB"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17" w:history="1">
            <w:r w:rsidR="00812DDC" w:rsidRPr="006462AA">
              <w:rPr>
                <w:rStyle w:val="Hyperlink"/>
                <w:noProof/>
                <w:sz w:val="24"/>
                <w:szCs w:val="24"/>
              </w:rPr>
              <w:t>Victimisation</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_Toc135215617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10</w:t>
            </w:r>
            <w:r w:rsidR="00812DDC" w:rsidRPr="006462AA">
              <w:rPr>
                <w:noProof/>
                <w:webHidden/>
                <w:sz w:val="24"/>
                <w:szCs w:val="24"/>
              </w:rPr>
              <w:fldChar w:fldCharType="end"/>
            </w:r>
          </w:hyperlink>
        </w:p>
        <w:p w14:paraId="3B88F010" w14:textId="0B3FD84D"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18" w:history="1">
            <w:r w:rsidR="00812DDC" w:rsidRPr="006462AA">
              <w:rPr>
                <w:rStyle w:val="Hyperlink"/>
                <w:noProof/>
                <w:sz w:val="24"/>
                <w:szCs w:val="24"/>
              </w:rPr>
              <w:t>Vexatious / Malicious reports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_Toc135215618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10</w:t>
            </w:r>
            <w:r w:rsidR="00812DDC" w:rsidRPr="006462AA">
              <w:rPr>
                <w:noProof/>
                <w:webHidden/>
                <w:sz w:val="24"/>
                <w:szCs w:val="24"/>
              </w:rPr>
              <w:fldChar w:fldCharType="end"/>
            </w:r>
          </w:hyperlink>
        </w:p>
        <w:p w14:paraId="0F6E5761" w14:textId="2C9B428D"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19" w:history="1">
            <w:r w:rsidR="00812DDC" w:rsidRPr="006462AA">
              <w:rPr>
                <w:rStyle w:val="Hyperlink"/>
                <w:noProof/>
                <w:sz w:val="24"/>
                <w:szCs w:val="24"/>
              </w:rPr>
              <w:t>External Disclosures</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_Toc135215619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11</w:t>
            </w:r>
            <w:r w:rsidR="00812DDC" w:rsidRPr="006462AA">
              <w:rPr>
                <w:noProof/>
                <w:webHidden/>
                <w:sz w:val="24"/>
                <w:szCs w:val="24"/>
              </w:rPr>
              <w:fldChar w:fldCharType="end"/>
            </w:r>
          </w:hyperlink>
        </w:p>
        <w:p w14:paraId="171AD53F" w14:textId="65E57180" w:rsidR="00812DDC" w:rsidRPr="006462AA" w:rsidRDefault="004A3144">
          <w:pPr>
            <w:pStyle w:val="TOC3"/>
            <w:tabs>
              <w:tab w:val="right" w:leader="dot" w:pos="10479"/>
            </w:tabs>
            <w:rPr>
              <w:rFonts w:asciiTheme="minorHAnsi" w:eastAsiaTheme="minorEastAsia" w:hAnsiTheme="minorHAnsi"/>
              <w:noProof/>
              <w:color w:val="auto"/>
              <w:sz w:val="24"/>
              <w:szCs w:val="24"/>
              <w:lang w:eastAsia="en-GB"/>
            </w:rPr>
          </w:pPr>
          <w:hyperlink w:anchor="_Toc135215620" w:history="1">
            <w:r w:rsidR="00812DDC" w:rsidRPr="006462AA">
              <w:rPr>
                <w:rStyle w:val="Hyperlink"/>
                <w:noProof/>
                <w:sz w:val="24"/>
                <w:szCs w:val="24"/>
              </w:rPr>
              <w:t>Support</w:t>
            </w:r>
            <w:r w:rsidR="00812DDC" w:rsidRPr="006462AA">
              <w:rPr>
                <w:noProof/>
                <w:webHidden/>
                <w:sz w:val="24"/>
                <w:szCs w:val="24"/>
              </w:rPr>
              <w:tab/>
            </w:r>
            <w:r w:rsidR="00812DDC" w:rsidRPr="006462AA">
              <w:rPr>
                <w:noProof/>
                <w:webHidden/>
                <w:sz w:val="24"/>
                <w:szCs w:val="24"/>
              </w:rPr>
              <w:fldChar w:fldCharType="begin"/>
            </w:r>
            <w:r w:rsidR="00812DDC" w:rsidRPr="006462AA">
              <w:rPr>
                <w:noProof/>
                <w:webHidden/>
                <w:sz w:val="24"/>
                <w:szCs w:val="24"/>
              </w:rPr>
              <w:instrText xml:space="preserve"> PAGEREF _Toc135215620 \h </w:instrText>
            </w:r>
            <w:r w:rsidR="00812DDC" w:rsidRPr="006462AA">
              <w:rPr>
                <w:noProof/>
                <w:webHidden/>
                <w:sz w:val="24"/>
                <w:szCs w:val="24"/>
              </w:rPr>
            </w:r>
            <w:r w:rsidR="00812DDC" w:rsidRPr="006462AA">
              <w:rPr>
                <w:noProof/>
                <w:webHidden/>
                <w:sz w:val="24"/>
                <w:szCs w:val="24"/>
              </w:rPr>
              <w:fldChar w:fldCharType="separate"/>
            </w:r>
            <w:r w:rsidR="0093582B">
              <w:rPr>
                <w:noProof/>
                <w:webHidden/>
                <w:sz w:val="24"/>
                <w:szCs w:val="24"/>
              </w:rPr>
              <w:t>11</w:t>
            </w:r>
            <w:r w:rsidR="00812DDC" w:rsidRPr="006462AA">
              <w:rPr>
                <w:noProof/>
                <w:webHidden/>
                <w:sz w:val="24"/>
                <w:szCs w:val="24"/>
              </w:rPr>
              <w:fldChar w:fldCharType="end"/>
            </w:r>
          </w:hyperlink>
        </w:p>
        <w:p w14:paraId="2C60FA08" w14:textId="7B737D6B" w:rsidR="004533BA" w:rsidRPr="00061ADD" w:rsidRDefault="004533BA">
          <w:r w:rsidRPr="00061ADD">
            <w:rPr>
              <w:b/>
              <w:bCs/>
            </w:rPr>
            <w:fldChar w:fldCharType="end"/>
          </w:r>
        </w:p>
      </w:sdtContent>
    </w:sdt>
    <w:p w14:paraId="61F50CE7" w14:textId="280598EA" w:rsidR="004533BA" w:rsidRPr="00061ADD" w:rsidRDefault="004533BA">
      <w:pPr>
        <w:spacing w:after="160" w:line="259" w:lineRule="auto"/>
        <w:ind w:right="0"/>
        <w:jc w:val="left"/>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br w:type="page"/>
      </w:r>
    </w:p>
    <w:p w14:paraId="316535B6" w14:textId="2A3A0214" w:rsidR="004533BA" w:rsidRPr="007F3E09" w:rsidRDefault="004533BA" w:rsidP="004533BA">
      <w:pPr>
        <w:pStyle w:val="Heading2"/>
        <w:rPr>
          <w:rFonts w:ascii="Arial" w:eastAsia="Times New Roman" w:hAnsi="Arial" w:cs="Arial"/>
          <w:sz w:val="40"/>
          <w:szCs w:val="40"/>
          <w:lang w:eastAsia="en-GB"/>
        </w:rPr>
      </w:pPr>
      <w:bookmarkStart w:id="1" w:name="_Toc135215599"/>
      <w:r w:rsidRPr="007F3E09">
        <w:rPr>
          <w:rFonts w:ascii="Arial" w:eastAsia="Times New Roman" w:hAnsi="Arial" w:cs="Arial"/>
          <w:sz w:val="40"/>
          <w:szCs w:val="40"/>
          <w:lang w:eastAsia="en-GB"/>
        </w:rPr>
        <w:lastRenderedPageBreak/>
        <w:t>Introduction</w:t>
      </w:r>
      <w:bookmarkEnd w:id="1"/>
    </w:p>
    <w:p w14:paraId="0E6E9295" w14:textId="77777777" w:rsidR="00742DE0" w:rsidRPr="006462AA" w:rsidRDefault="00742DE0" w:rsidP="00742DE0">
      <w:pPr>
        <w:rPr>
          <w:sz w:val="24"/>
          <w:szCs w:val="24"/>
          <w:lang w:eastAsia="en-GB"/>
        </w:rPr>
      </w:pPr>
    </w:p>
    <w:p w14:paraId="7AD53AA6" w14:textId="77777777" w:rsidR="004533BA" w:rsidRPr="006462AA" w:rsidRDefault="004533BA" w:rsidP="004533BA">
      <w:pPr>
        <w:pStyle w:val="ListParagraph"/>
        <w:numPr>
          <w:ilvl w:val="0"/>
          <w:numId w:val="9"/>
        </w:numPr>
        <w:rPr>
          <w:vanish/>
          <w:sz w:val="24"/>
          <w:szCs w:val="24"/>
          <w:lang w:eastAsia="en-GB"/>
        </w:rPr>
      </w:pPr>
    </w:p>
    <w:p w14:paraId="2811480B" w14:textId="2A963CB6" w:rsidR="008C5511" w:rsidRPr="006462AA" w:rsidRDefault="000B0D23" w:rsidP="008C5511">
      <w:pPr>
        <w:pStyle w:val="ListParagraph"/>
        <w:numPr>
          <w:ilvl w:val="1"/>
          <w:numId w:val="6"/>
        </w:numPr>
        <w:rPr>
          <w:sz w:val="24"/>
          <w:szCs w:val="24"/>
          <w:lang w:eastAsia="en-GB"/>
        </w:rPr>
      </w:pPr>
      <w:r w:rsidRPr="006462AA">
        <w:rPr>
          <w:sz w:val="24"/>
          <w:szCs w:val="24"/>
          <w:lang w:eastAsia="en-GB"/>
        </w:rPr>
        <w:t>Ironstone Academy Trust</w:t>
      </w:r>
      <w:r w:rsidR="008C5511" w:rsidRPr="006462AA">
        <w:rPr>
          <w:sz w:val="24"/>
          <w:szCs w:val="24"/>
          <w:lang w:eastAsia="en-GB"/>
        </w:rPr>
        <w:t xml:space="preserve"> is committed to achieving high standards of integrity and accountability. This policy provides a framework for employees and contractors, to raise concerns which they believe are in the public interest and may relate to illegal, improper or unethical conduct. The whistleblowing policy forms part of the </w:t>
      </w:r>
      <w:r w:rsidR="00AC219A" w:rsidRPr="006462AA">
        <w:rPr>
          <w:sz w:val="24"/>
          <w:szCs w:val="24"/>
          <w:lang w:eastAsia="en-GB"/>
        </w:rPr>
        <w:t>Ironstone Academy Trust’s</w:t>
      </w:r>
      <w:r w:rsidR="008C5511" w:rsidRPr="006462AA">
        <w:rPr>
          <w:sz w:val="24"/>
          <w:szCs w:val="24"/>
          <w:lang w:eastAsia="en-GB"/>
        </w:rPr>
        <w:t xml:space="preserve"> overall counter fraud framework. There are different mechanisms for members of the public or others with concerns to report them to the </w:t>
      </w:r>
      <w:r w:rsidR="00B8286B" w:rsidRPr="006462AA">
        <w:rPr>
          <w:sz w:val="24"/>
          <w:szCs w:val="24"/>
          <w:lang w:eastAsia="en-GB"/>
        </w:rPr>
        <w:t>Ironstone Academy Trust</w:t>
      </w:r>
      <w:r w:rsidR="008C5511" w:rsidRPr="006462AA">
        <w:rPr>
          <w:sz w:val="24"/>
          <w:szCs w:val="24"/>
          <w:lang w:eastAsia="en-GB"/>
        </w:rPr>
        <w:t xml:space="preserve">, for example through the counter fraud hotline or complaints procedures. Whilst many of the principles covered in the whistleblowing policy relate to any report of wrongdoing at the </w:t>
      </w:r>
      <w:r w:rsidR="00B8286B" w:rsidRPr="006462AA">
        <w:rPr>
          <w:sz w:val="24"/>
          <w:szCs w:val="24"/>
          <w:lang w:eastAsia="en-GB"/>
        </w:rPr>
        <w:t>Ironstone Academy Trust</w:t>
      </w:r>
      <w:r w:rsidR="008C5511" w:rsidRPr="006462AA">
        <w:rPr>
          <w:sz w:val="24"/>
          <w:szCs w:val="24"/>
          <w:lang w:eastAsia="en-GB"/>
        </w:rPr>
        <w:t xml:space="preserve">, this policy is designed solely for the use of employees and contractors. </w:t>
      </w:r>
    </w:p>
    <w:p w14:paraId="3A059328" w14:textId="52349073" w:rsidR="008C5511" w:rsidRPr="006462AA" w:rsidRDefault="008C5511" w:rsidP="008C5511">
      <w:pPr>
        <w:pStyle w:val="ListParagraph"/>
        <w:rPr>
          <w:sz w:val="24"/>
          <w:szCs w:val="24"/>
          <w:lang w:eastAsia="en-GB"/>
        </w:rPr>
      </w:pPr>
    </w:p>
    <w:p w14:paraId="02EB321D" w14:textId="6DEA58F2" w:rsidR="008C5511" w:rsidRPr="006462AA" w:rsidRDefault="008C5511" w:rsidP="008C5511">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009750A1" w:rsidRPr="006462AA">
        <w:rPr>
          <w:sz w:val="24"/>
          <w:szCs w:val="24"/>
          <w:lang w:eastAsia="en-GB"/>
        </w:rPr>
        <w:t xml:space="preserve"> </w:t>
      </w:r>
      <w:r w:rsidRPr="006462AA">
        <w:rPr>
          <w:sz w:val="24"/>
          <w:szCs w:val="24"/>
          <w:lang w:eastAsia="en-GB"/>
        </w:rPr>
        <w:t xml:space="preserve">tries to create an open environment in which employees and those working on behalf of </w:t>
      </w:r>
      <w:r w:rsidR="009750A1"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are encouraged to raise issues with the confidence that they will be acted upon appropriately. Our message to employees is straightforward - if in doubt, raise it! </w:t>
      </w:r>
    </w:p>
    <w:p w14:paraId="13EE2814" w14:textId="77777777" w:rsidR="008C5511" w:rsidRPr="006462AA" w:rsidRDefault="008C5511" w:rsidP="008C5511">
      <w:pPr>
        <w:pStyle w:val="ListParagraph"/>
        <w:rPr>
          <w:sz w:val="24"/>
          <w:szCs w:val="24"/>
          <w:lang w:eastAsia="en-GB"/>
        </w:rPr>
      </w:pPr>
      <w:r w:rsidRPr="006462AA">
        <w:rPr>
          <w:sz w:val="24"/>
          <w:szCs w:val="24"/>
          <w:lang w:eastAsia="en-GB"/>
        </w:rPr>
        <w:t xml:space="preserve"> </w:t>
      </w:r>
    </w:p>
    <w:p w14:paraId="32843AD2" w14:textId="54F71422" w:rsidR="008C5511" w:rsidRPr="006462AA" w:rsidRDefault="008C5511" w:rsidP="008C5511">
      <w:pPr>
        <w:pStyle w:val="ListParagraph"/>
        <w:numPr>
          <w:ilvl w:val="1"/>
          <w:numId w:val="6"/>
        </w:numPr>
        <w:rPr>
          <w:sz w:val="24"/>
          <w:szCs w:val="24"/>
          <w:lang w:eastAsia="en-GB"/>
        </w:rPr>
      </w:pPr>
      <w:r w:rsidRPr="1FAE0BA4">
        <w:rPr>
          <w:sz w:val="24"/>
          <w:szCs w:val="24"/>
          <w:lang w:eastAsia="en-GB"/>
        </w:rPr>
        <w:t>The Public Interest Disclosure Act 1998 (PIDA)</w:t>
      </w:r>
      <w:r w:rsidR="7AED898B" w:rsidRPr="1FAE0BA4">
        <w:rPr>
          <w:sz w:val="24"/>
          <w:szCs w:val="24"/>
          <w:lang w:eastAsia="en-GB"/>
        </w:rPr>
        <w:t xml:space="preserve"> updated in 2022,</w:t>
      </w:r>
      <w:r w:rsidRPr="1FAE0BA4">
        <w:rPr>
          <w:sz w:val="24"/>
          <w:szCs w:val="24"/>
          <w:lang w:eastAsia="en-GB"/>
        </w:rPr>
        <w:t xml:space="preserve"> protects employees against detrimental treatment or dismissal as a result of any disclosure of information in the interests of the public. This policy is designed to conform to legislation</w:t>
      </w:r>
      <w:r w:rsidRPr="1FAE0BA4">
        <w:rPr>
          <w:sz w:val="24"/>
          <w:szCs w:val="24"/>
          <w:vertAlign w:val="superscript"/>
          <w:lang w:eastAsia="en-GB"/>
        </w:rPr>
        <w:t xml:space="preserve"> </w:t>
      </w:r>
      <w:r w:rsidRPr="1FAE0BA4">
        <w:rPr>
          <w:sz w:val="24"/>
          <w:szCs w:val="24"/>
          <w:lang w:eastAsia="en-GB"/>
        </w:rPr>
        <w:t xml:space="preserve">as well as guidance from the government and relevant bodies. </w:t>
      </w:r>
    </w:p>
    <w:p w14:paraId="15D15392" w14:textId="77777777" w:rsidR="008C5511" w:rsidRPr="006462AA" w:rsidRDefault="008C5511" w:rsidP="008C5511">
      <w:pPr>
        <w:pStyle w:val="ListParagraph"/>
        <w:rPr>
          <w:sz w:val="24"/>
          <w:szCs w:val="24"/>
          <w:lang w:eastAsia="en-GB"/>
        </w:rPr>
      </w:pPr>
      <w:r w:rsidRPr="006462AA">
        <w:rPr>
          <w:sz w:val="24"/>
          <w:szCs w:val="24"/>
          <w:lang w:eastAsia="en-GB"/>
        </w:rPr>
        <w:t xml:space="preserve"> </w:t>
      </w:r>
    </w:p>
    <w:p w14:paraId="1A7FD43E" w14:textId="26A292DD" w:rsidR="008C5511" w:rsidRPr="006462AA" w:rsidRDefault="008C5511" w:rsidP="008C5511">
      <w:pPr>
        <w:pStyle w:val="ListParagraph"/>
        <w:numPr>
          <w:ilvl w:val="1"/>
          <w:numId w:val="6"/>
        </w:numPr>
        <w:rPr>
          <w:sz w:val="24"/>
          <w:szCs w:val="24"/>
          <w:lang w:eastAsia="en-GB"/>
        </w:rPr>
      </w:pPr>
      <w:r w:rsidRPr="006462AA">
        <w:rPr>
          <w:sz w:val="24"/>
          <w:szCs w:val="24"/>
          <w:lang w:eastAsia="en-GB"/>
        </w:rPr>
        <w:t xml:space="preserve">This policy should be used where there are concerns about consequences for other employees or the public and does not apply to matters relating exclusively to one’s own employment. </w:t>
      </w:r>
    </w:p>
    <w:p w14:paraId="34FE1DF3" w14:textId="77777777" w:rsidR="008C5511" w:rsidRPr="006462AA" w:rsidRDefault="008C5511" w:rsidP="008C5511">
      <w:pPr>
        <w:pStyle w:val="ListParagraph"/>
        <w:rPr>
          <w:sz w:val="24"/>
          <w:szCs w:val="24"/>
          <w:lang w:eastAsia="en-GB"/>
        </w:rPr>
      </w:pPr>
      <w:r w:rsidRPr="006462AA">
        <w:rPr>
          <w:sz w:val="24"/>
          <w:szCs w:val="24"/>
          <w:lang w:eastAsia="en-GB"/>
        </w:rPr>
        <w:t xml:space="preserve"> </w:t>
      </w:r>
    </w:p>
    <w:p w14:paraId="13CFBB70" w14:textId="4F632DE5" w:rsidR="008C5511" w:rsidRPr="006462AA" w:rsidRDefault="008C5511" w:rsidP="008C5511">
      <w:pPr>
        <w:pStyle w:val="ListParagraph"/>
        <w:numPr>
          <w:ilvl w:val="1"/>
          <w:numId w:val="6"/>
        </w:numPr>
        <w:rPr>
          <w:sz w:val="24"/>
          <w:szCs w:val="24"/>
          <w:lang w:eastAsia="en-GB"/>
        </w:rPr>
      </w:pPr>
      <w:r w:rsidRPr="006462AA">
        <w:rPr>
          <w:sz w:val="24"/>
          <w:szCs w:val="24"/>
          <w:lang w:eastAsia="en-GB"/>
        </w:rPr>
        <w:t xml:space="preserve">A guide for managers or other employees on how to proceed if they receive a whistleblowing report is contained in Appendix A of this policy. </w:t>
      </w:r>
    </w:p>
    <w:p w14:paraId="11B5933C" w14:textId="77777777" w:rsidR="004533BA" w:rsidRPr="00061ADD" w:rsidRDefault="004533BA" w:rsidP="00CE631F">
      <w:pPr>
        <w:rPr>
          <w:lang w:eastAsia="en-GB"/>
        </w:rPr>
      </w:pPr>
      <w:r w:rsidRPr="00061ADD">
        <w:rPr>
          <w:lang w:eastAsia="en-GB"/>
        </w:rPr>
        <w:t xml:space="preserve"> </w:t>
      </w:r>
    </w:p>
    <w:p w14:paraId="7DDE31BF" w14:textId="62F31724" w:rsidR="004533BA" w:rsidRPr="007F3E09" w:rsidRDefault="004533BA" w:rsidP="00CE631F">
      <w:pPr>
        <w:pStyle w:val="Heading2"/>
        <w:rPr>
          <w:rFonts w:ascii="Arial" w:eastAsia="Times New Roman" w:hAnsi="Arial" w:cs="Arial"/>
          <w:sz w:val="40"/>
          <w:szCs w:val="40"/>
          <w:lang w:eastAsia="en-GB"/>
        </w:rPr>
      </w:pPr>
      <w:bookmarkStart w:id="2" w:name="_Toc135215600"/>
      <w:r w:rsidRPr="007F3E09">
        <w:rPr>
          <w:rFonts w:ascii="Arial" w:eastAsia="Times New Roman" w:hAnsi="Arial" w:cs="Arial"/>
          <w:sz w:val="40"/>
          <w:szCs w:val="40"/>
          <w:lang w:eastAsia="en-GB"/>
        </w:rPr>
        <w:t>A</w:t>
      </w:r>
      <w:r w:rsidR="00CE631F" w:rsidRPr="007F3E09">
        <w:rPr>
          <w:rFonts w:ascii="Arial" w:eastAsia="Times New Roman" w:hAnsi="Arial" w:cs="Arial"/>
          <w:sz w:val="40"/>
          <w:szCs w:val="40"/>
          <w:lang w:eastAsia="en-GB"/>
        </w:rPr>
        <w:t>ims and scope of the policy</w:t>
      </w:r>
      <w:bookmarkEnd w:id="2"/>
      <w:r w:rsidRPr="007F3E09">
        <w:rPr>
          <w:rFonts w:ascii="Arial" w:eastAsia="Times New Roman" w:hAnsi="Arial" w:cs="Arial"/>
          <w:sz w:val="40"/>
          <w:szCs w:val="40"/>
          <w:lang w:eastAsia="en-GB"/>
        </w:rPr>
        <w:t xml:space="preserve"> </w:t>
      </w:r>
    </w:p>
    <w:p w14:paraId="50275B21"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10DFECD0" w14:textId="3C5AFFB8"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policy aims to: </w:t>
      </w:r>
    </w:p>
    <w:p w14:paraId="798CA9A5" w14:textId="0A111A54" w:rsidR="004533BA" w:rsidRPr="006462AA" w:rsidRDefault="004533BA" w:rsidP="00CE631F">
      <w:pPr>
        <w:pStyle w:val="ListParagraph"/>
        <w:rPr>
          <w:sz w:val="24"/>
          <w:szCs w:val="24"/>
          <w:lang w:eastAsia="en-GB"/>
        </w:rPr>
      </w:pPr>
    </w:p>
    <w:p w14:paraId="24552717" w14:textId="6AF00E3E" w:rsidR="004533BA" w:rsidRPr="006462AA" w:rsidRDefault="004533BA" w:rsidP="00CE631F">
      <w:pPr>
        <w:pStyle w:val="ListParagraph"/>
        <w:numPr>
          <w:ilvl w:val="1"/>
          <w:numId w:val="12"/>
        </w:numPr>
        <w:ind w:left="1080"/>
        <w:rPr>
          <w:sz w:val="24"/>
          <w:szCs w:val="24"/>
          <w:lang w:eastAsia="en-GB"/>
        </w:rPr>
      </w:pPr>
      <w:r w:rsidRPr="006462AA">
        <w:rPr>
          <w:sz w:val="24"/>
          <w:szCs w:val="24"/>
          <w:lang w:eastAsia="en-GB"/>
        </w:rPr>
        <w:t>encourage employees to raise any serious concerns they have about their workplace or working practices</w:t>
      </w:r>
      <w:r w:rsidR="00053AD3" w:rsidRPr="006462AA">
        <w:rPr>
          <w:sz w:val="24"/>
          <w:szCs w:val="24"/>
          <w:lang w:eastAsia="en-GB"/>
        </w:rPr>
        <w:t>:</w:t>
      </w:r>
      <w:r w:rsidRPr="006462AA">
        <w:rPr>
          <w:sz w:val="24"/>
          <w:szCs w:val="24"/>
          <w:lang w:eastAsia="en-GB"/>
        </w:rPr>
        <w:t xml:space="preserve"> </w:t>
      </w:r>
    </w:p>
    <w:p w14:paraId="71C9527A" w14:textId="4D2BABE2" w:rsidR="004533BA" w:rsidRPr="006462AA" w:rsidRDefault="004533BA" w:rsidP="00CE631F">
      <w:pPr>
        <w:pStyle w:val="ListParagraph"/>
        <w:ind w:left="360"/>
        <w:rPr>
          <w:sz w:val="24"/>
          <w:szCs w:val="24"/>
          <w:lang w:eastAsia="en-GB"/>
        </w:rPr>
      </w:pPr>
    </w:p>
    <w:p w14:paraId="536E0A34" w14:textId="77777777" w:rsidR="004533BA" w:rsidRPr="006462AA" w:rsidRDefault="004533BA" w:rsidP="00CE631F">
      <w:pPr>
        <w:pStyle w:val="ListParagraph"/>
        <w:numPr>
          <w:ilvl w:val="1"/>
          <w:numId w:val="12"/>
        </w:numPr>
        <w:ind w:left="1080"/>
        <w:rPr>
          <w:sz w:val="24"/>
          <w:szCs w:val="24"/>
          <w:lang w:eastAsia="en-GB"/>
        </w:rPr>
      </w:pPr>
      <w:r w:rsidRPr="006462AA">
        <w:rPr>
          <w:sz w:val="24"/>
          <w:szCs w:val="24"/>
          <w:lang w:eastAsia="en-GB"/>
        </w:rPr>
        <w:t xml:space="preserve">ensure that employees get a response to their concerns and that they are aware of how to pursue them if they are not satisfied with any action or inaction; and </w:t>
      </w:r>
    </w:p>
    <w:p w14:paraId="3F8A5EB5" w14:textId="1F6DCCC1" w:rsidR="004533BA" w:rsidRPr="006462AA" w:rsidRDefault="004533BA" w:rsidP="00CE631F">
      <w:pPr>
        <w:pStyle w:val="ListParagraph"/>
        <w:ind w:left="360"/>
        <w:rPr>
          <w:sz w:val="24"/>
          <w:szCs w:val="24"/>
          <w:lang w:eastAsia="en-GB"/>
        </w:rPr>
      </w:pPr>
    </w:p>
    <w:p w14:paraId="3A601C39" w14:textId="77777777" w:rsidR="004533BA" w:rsidRPr="006462AA" w:rsidRDefault="004533BA" w:rsidP="00CE631F">
      <w:pPr>
        <w:pStyle w:val="ListParagraph"/>
        <w:numPr>
          <w:ilvl w:val="1"/>
          <w:numId w:val="12"/>
        </w:numPr>
        <w:ind w:left="1080"/>
        <w:rPr>
          <w:sz w:val="24"/>
          <w:szCs w:val="24"/>
          <w:lang w:eastAsia="en-GB"/>
        </w:rPr>
      </w:pPr>
      <w:r w:rsidRPr="006462AA">
        <w:rPr>
          <w:sz w:val="24"/>
          <w:szCs w:val="24"/>
          <w:lang w:eastAsia="en-GB"/>
        </w:rPr>
        <w:t xml:space="preserve">assure employees that if they raise any concerns in the public interest then action will be taken to protect them from possible reprisals or victimisation. </w:t>
      </w:r>
    </w:p>
    <w:p w14:paraId="142781B7" w14:textId="5254BECF" w:rsidR="004533BA" w:rsidRPr="006462AA" w:rsidRDefault="004533BA" w:rsidP="00CE631F">
      <w:pPr>
        <w:pStyle w:val="ListParagraph"/>
        <w:rPr>
          <w:sz w:val="24"/>
          <w:szCs w:val="24"/>
          <w:lang w:eastAsia="en-GB"/>
        </w:rPr>
      </w:pPr>
    </w:p>
    <w:p w14:paraId="4AA7F623" w14:textId="30CAB46B"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This policy applies to any person working for the </w:t>
      </w:r>
      <w:r w:rsidR="00B8286B" w:rsidRPr="006462AA">
        <w:rPr>
          <w:sz w:val="24"/>
          <w:szCs w:val="24"/>
          <w:lang w:eastAsia="en-GB"/>
        </w:rPr>
        <w:t>Ironstone Academy Trust</w:t>
      </w:r>
      <w:r w:rsidRPr="006462AA">
        <w:rPr>
          <w:sz w:val="24"/>
          <w:szCs w:val="24"/>
          <w:lang w:eastAsia="en-GB"/>
        </w:rPr>
        <w:t>. This includes both permanent and temporary staff</w:t>
      </w:r>
      <w:r w:rsidR="00AD0A0B" w:rsidRPr="006462AA">
        <w:rPr>
          <w:sz w:val="24"/>
          <w:szCs w:val="24"/>
          <w:lang w:eastAsia="en-GB"/>
        </w:rPr>
        <w:t xml:space="preserve"> </w:t>
      </w:r>
      <w:r w:rsidRPr="006462AA">
        <w:rPr>
          <w:sz w:val="24"/>
          <w:szCs w:val="24"/>
          <w:lang w:eastAsia="en-GB"/>
        </w:rPr>
        <w:t xml:space="preserve">and also covers agency personnel and staff seconded to or from a third party.  Contractors working for the </w:t>
      </w:r>
      <w:r w:rsidR="00B8286B" w:rsidRPr="006462AA">
        <w:rPr>
          <w:sz w:val="24"/>
          <w:szCs w:val="24"/>
          <w:lang w:eastAsia="en-GB"/>
        </w:rPr>
        <w:t>Ironstone Academy Trust</w:t>
      </w:r>
      <w:r w:rsidRPr="006462AA">
        <w:rPr>
          <w:sz w:val="24"/>
          <w:szCs w:val="24"/>
          <w:lang w:eastAsia="en-GB"/>
        </w:rPr>
        <w:t xml:space="preserve"> may also use the provisions of this policy to make the </w:t>
      </w:r>
      <w:r w:rsidR="00B8286B" w:rsidRPr="006462AA">
        <w:rPr>
          <w:sz w:val="24"/>
          <w:szCs w:val="24"/>
          <w:lang w:eastAsia="en-GB"/>
        </w:rPr>
        <w:t>Ironstone Academy Trust</w:t>
      </w:r>
      <w:r w:rsidRPr="006462AA">
        <w:rPr>
          <w:sz w:val="24"/>
          <w:szCs w:val="24"/>
          <w:lang w:eastAsia="en-GB"/>
        </w:rPr>
        <w:t xml:space="preserve"> aware of any relevant concerns. </w:t>
      </w:r>
    </w:p>
    <w:p w14:paraId="289A8072" w14:textId="1828FBF8" w:rsidR="004533BA" w:rsidRPr="006462AA" w:rsidRDefault="004533BA" w:rsidP="00CE631F">
      <w:pPr>
        <w:pStyle w:val="ListParagraph"/>
        <w:rPr>
          <w:sz w:val="24"/>
          <w:szCs w:val="24"/>
          <w:lang w:eastAsia="en-GB"/>
        </w:rPr>
      </w:pPr>
    </w:p>
    <w:p w14:paraId="4A3E6630" w14:textId="77777777"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Protection under PIDA is not provided to job applicants, self-employed workers or volunteers, however concerns can still be reported through whistleblowing channels. </w:t>
      </w:r>
    </w:p>
    <w:p w14:paraId="56E311EF" w14:textId="77777777" w:rsidR="004533BA" w:rsidRPr="006462AA" w:rsidRDefault="004533BA" w:rsidP="00CE631F">
      <w:pPr>
        <w:pStyle w:val="ListParagraph"/>
        <w:rPr>
          <w:sz w:val="24"/>
          <w:szCs w:val="24"/>
          <w:lang w:eastAsia="en-GB"/>
        </w:rPr>
      </w:pPr>
      <w:r w:rsidRPr="006462AA">
        <w:rPr>
          <w:sz w:val="24"/>
          <w:szCs w:val="24"/>
          <w:lang w:eastAsia="en-GB"/>
        </w:rPr>
        <w:lastRenderedPageBreak/>
        <w:t xml:space="preserve"> </w:t>
      </w:r>
    </w:p>
    <w:p w14:paraId="6033D723" w14:textId="77777777"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Set out below is a list of circumstances that should be reported through this policy and qualify for protection under legislation: </w:t>
      </w:r>
    </w:p>
    <w:p w14:paraId="3FD14756" w14:textId="71406FD8" w:rsidR="004533BA" w:rsidRPr="006462AA" w:rsidRDefault="004533BA" w:rsidP="00CE631F">
      <w:pPr>
        <w:pStyle w:val="ListParagraph"/>
        <w:rPr>
          <w:sz w:val="24"/>
          <w:szCs w:val="24"/>
          <w:lang w:eastAsia="en-GB"/>
        </w:rPr>
      </w:pPr>
    </w:p>
    <w:p w14:paraId="5AAA7E1D" w14:textId="6127567A"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a criminal offence has been committed, is being committed, or may be committed, </w:t>
      </w:r>
      <w:proofErr w:type="gramStart"/>
      <w:r w:rsidRPr="006462AA">
        <w:rPr>
          <w:sz w:val="24"/>
          <w:szCs w:val="24"/>
          <w:lang w:eastAsia="en-GB"/>
        </w:rPr>
        <w:t>e.g</w:t>
      </w:r>
      <w:r w:rsidR="00CE631F" w:rsidRPr="006462AA">
        <w:rPr>
          <w:sz w:val="24"/>
          <w:szCs w:val="24"/>
          <w:lang w:eastAsia="en-GB"/>
        </w:rPr>
        <w:t>.</w:t>
      </w:r>
      <w:proofErr w:type="gramEnd"/>
      <w:r w:rsidRPr="006462AA">
        <w:rPr>
          <w:sz w:val="24"/>
          <w:szCs w:val="24"/>
          <w:lang w:eastAsia="en-GB"/>
        </w:rPr>
        <w:t xml:space="preserve"> corruption, theft, or fraud; </w:t>
      </w:r>
    </w:p>
    <w:p w14:paraId="59B51080" w14:textId="500FA17C" w:rsidR="004533BA" w:rsidRPr="006462AA" w:rsidRDefault="004533BA" w:rsidP="00CE631F">
      <w:pPr>
        <w:pStyle w:val="ListParagraph"/>
        <w:ind w:left="0"/>
        <w:rPr>
          <w:sz w:val="24"/>
          <w:szCs w:val="24"/>
          <w:lang w:eastAsia="en-GB"/>
        </w:rPr>
      </w:pPr>
    </w:p>
    <w:p w14:paraId="1246E2E8" w14:textId="4982779F"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a person has failed, is failing, or may fail to comply with any legal obligation to which they are subject, </w:t>
      </w:r>
      <w:proofErr w:type="gramStart"/>
      <w:r w:rsidRPr="006462AA">
        <w:rPr>
          <w:sz w:val="24"/>
          <w:szCs w:val="24"/>
          <w:lang w:eastAsia="en-GB"/>
        </w:rPr>
        <w:t>e.g.</w:t>
      </w:r>
      <w:proofErr w:type="gramEnd"/>
      <w:r w:rsidRPr="006462AA">
        <w:rPr>
          <w:sz w:val="24"/>
          <w:szCs w:val="24"/>
          <w:lang w:eastAsia="en-GB"/>
        </w:rPr>
        <w:t xml:space="preserve"> breach of any statutory Code of Practice; </w:t>
      </w:r>
    </w:p>
    <w:p w14:paraId="3E57AC1F" w14:textId="77777777" w:rsidR="00CE631F" w:rsidRPr="006462AA" w:rsidRDefault="00CE631F" w:rsidP="00CE631F">
      <w:pPr>
        <w:pStyle w:val="ListParagraph"/>
        <w:rPr>
          <w:sz w:val="24"/>
          <w:szCs w:val="24"/>
          <w:lang w:eastAsia="en-GB"/>
        </w:rPr>
      </w:pPr>
    </w:p>
    <w:p w14:paraId="447BA10B" w14:textId="7BD89AFD"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a miscarriage of justice has occurred, is occurring, or may occur; </w:t>
      </w:r>
    </w:p>
    <w:p w14:paraId="195C8748" w14:textId="77777777" w:rsidR="00CE631F" w:rsidRPr="006462AA" w:rsidRDefault="00CE631F" w:rsidP="00CE631F">
      <w:pPr>
        <w:pStyle w:val="ListParagraph"/>
        <w:rPr>
          <w:sz w:val="24"/>
          <w:szCs w:val="24"/>
          <w:lang w:eastAsia="en-GB"/>
        </w:rPr>
      </w:pPr>
    </w:p>
    <w:p w14:paraId="55DDF6C4" w14:textId="2C344A05"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the health or safety of any individual has been, is being, or may be endangered, </w:t>
      </w:r>
      <w:proofErr w:type="gramStart"/>
      <w:r w:rsidRPr="006462AA">
        <w:rPr>
          <w:sz w:val="24"/>
          <w:szCs w:val="24"/>
          <w:lang w:eastAsia="en-GB"/>
        </w:rPr>
        <w:t>e.g.</w:t>
      </w:r>
      <w:proofErr w:type="gramEnd"/>
      <w:r w:rsidR="00CE631F" w:rsidRPr="006462AA">
        <w:rPr>
          <w:sz w:val="24"/>
          <w:szCs w:val="24"/>
          <w:lang w:eastAsia="en-GB"/>
        </w:rPr>
        <w:t xml:space="preserve"> </w:t>
      </w:r>
      <w:r w:rsidRPr="006462AA">
        <w:rPr>
          <w:sz w:val="24"/>
          <w:szCs w:val="24"/>
          <w:lang w:eastAsia="en-GB"/>
        </w:rPr>
        <w:t xml:space="preserve">abuse of any vulnerable adult or child; </w:t>
      </w:r>
    </w:p>
    <w:p w14:paraId="78F873A6" w14:textId="77777777" w:rsidR="00CE631F" w:rsidRPr="006462AA" w:rsidRDefault="00CE631F" w:rsidP="00CE631F">
      <w:pPr>
        <w:pStyle w:val="ListParagraph"/>
        <w:rPr>
          <w:sz w:val="24"/>
          <w:szCs w:val="24"/>
          <w:lang w:eastAsia="en-GB"/>
        </w:rPr>
      </w:pPr>
    </w:p>
    <w:p w14:paraId="3F5099E4" w14:textId="32E73F4C"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the environment has been, is being, or may be damaged; or </w:t>
      </w:r>
    </w:p>
    <w:p w14:paraId="3CE2BAE6" w14:textId="77777777" w:rsidR="00CE631F" w:rsidRPr="006462AA" w:rsidRDefault="00CE631F" w:rsidP="00CE631F">
      <w:pPr>
        <w:pStyle w:val="ListParagraph"/>
        <w:rPr>
          <w:sz w:val="24"/>
          <w:szCs w:val="24"/>
          <w:lang w:eastAsia="en-GB"/>
        </w:rPr>
      </w:pPr>
    </w:p>
    <w:p w14:paraId="122C8DC2" w14:textId="3AAF038A"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information tending to show any matter falling within any of the above categories has been, is being, or may be deliberately concealed, e.g. </w:t>
      </w:r>
    </w:p>
    <w:p w14:paraId="77BC9499" w14:textId="77777777" w:rsidR="00CE631F" w:rsidRPr="006462AA" w:rsidRDefault="00CE631F" w:rsidP="00CE631F">
      <w:pPr>
        <w:pStyle w:val="ListParagraph"/>
        <w:rPr>
          <w:sz w:val="24"/>
          <w:szCs w:val="24"/>
          <w:lang w:eastAsia="en-GB"/>
        </w:rPr>
      </w:pPr>
    </w:p>
    <w:p w14:paraId="5246FB5B" w14:textId="00577BA2" w:rsidR="004533BA" w:rsidRPr="006462AA" w:rsidRDefault="004533BA" w:rsidP="00CE631F">
      <w:pPr>
        <w:pStyle w:val="ListParagraph"/>
        <w:numPr>
          <w:ilvl w:val="1"/>
          <w:numId w:val="13"/>
        </w:numPr>
        <w:ind w:left="720"/>
        <w:rPr>
          <w:sz w:val="24"/>
          <w:szCs w:val="24"/>
          <w:lang w:eastAsia="en-GB"/>
        </w:rPr>
      </w:pPr>
      <w:r w:rsidRPr="006462AA">
        <w:rPr>
          <w:sz w:val="24"/>
          <w:szCs w:val="24"/>
          <w:lang w:eastAsia="en-GB"/>
        </w:rPr>
        <w:t xml:space="preserve">failure to take reasonable steps to report or resolve any situation which is likely to cause significant financial loss to the </w:t>
      </w:r>
      <w:r w:rsidR="00B8286B" w:rsidRPr="006462AA">
        <w:rPr>
          <w:sz w:val="24"/>
          <w:szCs w:val="24"/>
          <w:lang w:eastAsia="en-GB"/>
        </w:rPr>
        <w:t>Ironstone Academy Trust</w:t>
      </w:r>
      <w:r w:rsidR="00AB15A8" w:rsidRPr="006462AA">
        <w:rPr>
          <w:sz w:val="24"/>
          <w:szCs w:val="24"/>
          <w:lang w:eastAsia="en-GB"/>
        </w:rPr>
        <w:t xml:space="preserve">. </w:t>
      </w:r>
    </w:p>
    <w:p w14:paraId="09454F53" w14:textId="77777777" w:rsidR="00CE631F" w:rsidRPr="006462AA" w:rsidRDefault="00CE631F" w:rsidP="00CE631F">
      <w:pPr>
        <w:pStyle w:val="ListParagraph"/>
        <w:rPr>
          <w:sz w:val="24"/>
          <w:szCs w:val="24"/>
          <w:lang w:eastAsia="en-GB"/>
        </w:rPr>
      </w:pPr>
    </w:p>
    <w:p w14:paraId="0825AE86" w14:textId="12E69B6B"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This whistleblowing policy is intended for people to raise concerns that are in the public interest and where the interests of others or of the organisation itself are at risk. It is intended to supplement, rather than to replace, other employment procedures whereby employees of the </w:t>
      </w:r>
      <w:r w:rsidR="00B8286B" w:rsidRPr="006462AA">
        <w:rPr>
          <w:sz w:val="24"/>
          <w:szCs w:val="24"/>
          <w:lang w:eastAsia="en-GB"/>
        </w:rPr>
        <w:t>Ironstone Academy Trust</w:t>
      </w:r>
      <w:r w:rsidR="00AB15A8" w:rsidRPr="006462AA">
        <w:rPr>
          <w:sz w:val="24"/>
          <w:szCs w:val="24"/>
          <w:lang w:eastAsia="en-GB"/>
        </w:rPr>
        <w:t xml:space="preserve"> </w:t>
      </w:r>
      <w:r w:rsidRPr="006462AA">
        <w:rPr>
          <w:sz w:val="24"/>
          <w:szCs w:val="24"/>
          <w:lang w:eastAsia="en-GB"/>
        </w:rPr>
        <w:t xml:space="preserve">may already raise complaints or matters of genuine concern relating to their own employment. </w:t>
      </w:r>
    </w:p>
    <w:p w14:paraId="28A503B4"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5D8BCCA2" w14:textId="214E7D7E" w:rsidR="004533BA" w:rsidRPr="007F3E09" w:rsidRDefault="004533BA" w:rsidP="00CE631F">
      <w:pPr>
        <w:pStyle w:val="Heading2"/>
        <w:rPr>
          <w:rFonts w:ascii="Arial" w:eastAsia="Times New Roman" w:hAnsi="Arial" w:cs="Arial"/>
          <w:sz w:val="40"/>
          <w:szCs w:val="40"/>
          <w:lang w:eastAsia="en-GB"/>
        </w:rPr>
      </w:pPr>
      <w:r w:rsidRPr="007F3E09">
        <w:rPr>
          <w:rFonts w:ascii="Arial" w:eastAsia="Times New Roman" w:hAnsi="Arial" w:cs="Arial"/>
          <w:sz w:val="40"/>
          <w:szCs w:val="40"/>
          <w:lang w:eastAsia="en-GB"/>
        </w:rPr>
        <w:t xml:space="preserve"> </w:t>
      </w:r>
      <w:bookmarkStart w:id="3" w:name="_Toc135215601"/>
      <w:r w:rsidRPr="007F3E09">
        <w:rPr>
          <w:rFonts w:ascii="Arial" w:eastAsia="Times New Roman" w:hAnsi="Arial" w:cs="Arial"/>
          <w:sz w:val="40"/>
          <w:szCs w:val="40"/>
          <w:lang w:eastAsia="en-GB"/>
        </w:rPr>
        <w:t>S</w:t>
      </w:r>
      <w:r w:rsidR="00CE631F" w:rsidRPr="007F3E09">
        <w:rPr>
          <w:rFonts w:ascii="Arial" w:eastAsia="Times New Roman" w:hAnsi="Arial" w:cs="Arial"/>
          <w:sz w:val="40"/>
          <w:szCs w:val="40"/>
          <w:lang w:eastAsia="en-GB"/>
        </w:rPr>
        <w:t>afeguards</w:t>
      </w:r>
      <w:bookmarkEnd w:id="3"/>
    </w:p>
    <w:p w14:paraId="57363E30"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56FCA163" w14:textId="3A22964D"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recognises that the decision to report a concern can be a difficult one to make. In many cases it is employees who are most likely to be in the best position to learn of any malpractice or wrongdoing within the </w:t>
      </w:r>
      <w:r w:rsidR="00B8286B" w:rsidRPr="006462AA">
        <w:rPr>
          <w:sz w:val="24"/>
          <w:szCs w:val="24"/>
          <w:lang w:eastAsia="en-GB"/>
        </w:rPr>
        <w:t>Ironstone Academy Trust</w:t>
      </w:r>
      <w:r w:rsidRPr="006462AA">
        <w:rPr>
          <w:sz w:val="24"/>
          <w:szCs w:val="24"/>
          <w:lang w:eastAsia="en-GB"/>
        </w:rPr>
        <w:t xml:space="preserve"> or school setting and to identify something which falls below the standards which the </w:t>
      </w:r>
      <w:r w:rsidR="00B8286B" w:rsidRPr="006462AA">
        <w:rPr>
          <w:sz w:val="24"/>
          <w:szCs w:val="24"/>
          <w:lang w:eastAsia="en-GB"/>
        </w:rPr>
        <w:t>Ironstone Academy Trust</w:t>
      </w:r>
      <w:r w:rsidRPr="006462AA">
        <w:rPr>
          <w:sz w:val="24"/>
          <w:szCs w:val="24"/>
          <w:lang w:eastAsia="en-GB"/>
        </w:rPr>
        <w:t xml:space="preserve"> and the public are entitled to expect. The </w:t>
      </w:r>
      <w:r w:rsidR="00B8286B" w:rsidRPr="006462AA">
        <w:rPr>
          <w:sz w:val="24"/>
          <w:szCs w:val="24"/>
          <w:lang w:eastAsia="en-GB"/>
        </w:rPr>
        <w:t>Ironstone Academy Trust</w:t>
      </w:r>
      <w:r w:rsidRPr="006462AA">
        <w:rPr>
          <w:sz w:val="24"/>
          <w:szCs w:val="24"/>
          <w:lang w:eastAsia="en-GB"/>
        </w:rPr>
        <w:t xml:space="preserve"> is grateful to all employees who report their concerns. </w:t>
      </w:r>
    </w:p>
    <w:p w14:paraId="34C826A9" w14:textId="538607DA" w:rsidR="004533BA" w:rsidRPr="006462AA" w:rsidRDefault="004533BA" w:rsidP="00CE631F">
      <w:pPr>
        <w:pStyle w:val="ListParagraph"/>
        <w:rPr>
          <w:sz w:val="24"/>
          <w:szCs w:val="24"/>
          <w:lang w:eastAsia="en-GB"/>
        </w:rPr>
      </w:pPr>
    </w:p>
    <w:p w14:paraId="7D7FF71C" w14:textId="17DEDCD0"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Employees should have nothing to fear by reporting their concerns, if what they are reporting is true (or they honestly believe the information is true even if it is later found out to be incorrect). No action will be taken against anyone genuinely reporting a concern. </w:t>
      </w:r>
    </w:p>
    <w:p w14:paraId="3137E595" w14:textId="3059083A" w:rsidR="004533BA" w:rsidRPr="006462AA" w:rsidRDefault="004533BA" w:rsidP="00CE631F">
      <w:pPr>
        <w:pStyle w:val="ListParagraph"/>
        <w:rPr>
          <w:sz w:val="24"/>
          <w:szCs w:val="24"/>
          <w:lang w:eastAsia="en-GB"/>
        </w:rPr>
      </w:pPr>
    </w:p>
    <w:p w14:paraId="486F5B12" w14:textId="2846C9C1"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Deliberately providing false or misleading information however is a serious matter which may result in action being taken under the </w:t>
      </w:r>
      <w:r w:rsidR="00B8286B" w:rsidRPr="006462AA">
        <w:rPr>
          <w:sz w:val="24"/>
          <w:szCs w:val="24"/>
          <w:lang w:eastAsia="en-GB"/>
        </w:rPr>
        <w:t>Ironstone Academy Trust</w:t>
      </w:r>
      <w:r w:rsidRPr="006462AA">
        <w:rPr>
          <w:sz w:val="24"/>
          <w:szCs w:val="24"/>
          <w:lang w:eastAsia="en-GB"/>
        </w:rPr>
        <w:t xml:space="preserve"> disciplinary policy. Equally, deterring another employee from reporting their concerns is a serious matter and also may result in disciplinary action. </w:t>
      </w:r>
    </w:p>
    <w:p w14:paraId="7305A87D" w14:textId="629D7920" w:rsidR="004533BA" w:rsidRPr="006462AA" w:rsidRDefault="004533BA" w:rsidP="00CE631F">
      <w:pPr>
        <w:pStyle w:val="ListParagraph"/>
        <w:rPr>
          <w:sz w:val="24"/>
          <w:szCs w:val="24"/>
          <w:lang w:eastAsia="en-GB"/>
        </w:rPr>
      </w:pPr>
    </w:p>
    <w:p w14:paraId="3B1DB347" w14:textId="48EE65CB"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will not tolerate the harassment or victimisation of anyone who has raised a concern. However, it is recognised that an individual may nonetheless want to raise a concern in confidence under this policy. If a member of staff asks the </w:t>
      </w:r>
      <w:r w:rsidR="00B8286B" w:rsidRPr="006462AA">
        <w:rPr>
          <w:sz w:val="24"/>
          <w:szCs w:val="24"/>
          <w:lang w:eastAsia="en-GB"/>
        </w:rPr>
        <w:t>Ironstone Academy Trust</w:t>
      </w:r>
      <w:r w:rsidRPr="006462AA">
        <w:rPr>
          <w:sz w:val="24"/>
          <w:szCs w:val="24"/>
          <w:lang w:eastAsia="en-GB"/>
        </w:rPr>
        <w:t xml:space="preserve"> to protect their anonymity, efforts will be taken to protect their identity from being disclosed. If a situation arises where a concern cannot be resolved </w:t>
      </w:r>
      <w:r w:rsidRPr="006462AA">
        <w:rPr>
          <w:sz w:val="24"/>
          <w:szCs w:val="24"/>
          <w:lang w:eastAsia="en-GB"/>
        </w:rPr>
        <w:lastRenderedPageBreak/>
        <w:t xml:space="preserve">without revealing their identity (for instance, because evidence is needed in court or will be revealed as part of a subsequent investigation) this will be fully discussed with the employee in question. </w:t>
      </w:r>
    </w:p>
    <w:p w14:paraId="7D738BF9" w14:textId="0608241A" w:rsidR="004533BA" w:rsidRPr="006462AA" w:rsidRDefault="004533BA" w:rsidP="00CE631F">
      <w:pPr>
        <w:pStyle w:val="ListParagraph"/>
        <w:rPr>
          <w:sz w:val="24"/>
          <w:szCs w:val="24"/>
          <w:lang w:eastAsia="en-GB"/>
        </w:rPr>
      </w:pPr>
    </w:p>
    <w:p w14:paraId="54CDBFD9" w14:textId="03FA5E3B"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policy encourages employees to put their names to allegations. Concerns expressed anonymously will still be considered by the </w:t>
      </w:r>
      <w:r w:rsidR="00B8286B" w:rsidRPr="006462AA">
        <w:rPr>
          <w:sz w:val="24"/>
          <w:szCs w:val="24"/>
          <w:lang w:eastAsia="en-GB"/>
        </w:rPr>
        <w:t>Ironstone Academy Trust</w:t>
      </w:r>
      <w:r w:rsidRPr="006462AA">
        <w:rPr>
          <w:sz w:val="24"/>
          <w:szCs w:val="24"/>
          <w:lang w:eastAsia="en-GB"/>
        </w:rPr>
        <w:t xml:space="preserve">, however complaints of this type can be harder to substantiate and therefore have to be treated with a degree of caution. It will also not be possible to provide feedback to the member of staff reporting the concern during or following any investigation. Anonymous reports are preferred to </w:t>
      </w:r>
      <w:r w:rsidR="00CE631F" w:rsidRPr="006462AA">
        <w:rPr>
          <w:sz w:val="24"/>
          <w:szCs w:val="24"/>
          <w:lang w:eastAsia="en-GB"/>
        </w:rPr>
        <w:t>silence,</w:t>
      </w:r>
      <w:r w:rsidRPr="006462AA">
        <w:rPr>
          <w:sz w:val="24"/>
          <w:szCs w:val="24"/>
          <w:lang w:eastAsia="en-GB"/>
        </w:rPr>
        <w:t xml:space="preserve"> however. </w:t>
      </w:r>
    </w:p>
    <w:p w14:paraId="3DEE8704" w14:textId="77777777" w:rsidR="007F3E09" w:rsidRDefault="007F3E09" w:rsidP="007F3E09">
      <w:pPr>
        <w:pStyle w:val="ListParagraph"/>
        <w:rPr>
          <w:lang w:eastAsia="en-GB"/>
        </w:rPr>
      </w:pPr>
    </w:p>
    <w:p w14:paraId="36FDB3FB" w14:textId="77777777" w:rsidR="007F3E09" w:rsidRPr="00061ADD" w:rsidRDefault="007F3E09" w:rsidP="007F3E09">
      <w:pPr>
        <w:pStyle w:val="ListParagraph"/>
        <w:rPr>
          <w:lang w:eastAsia="en-GB"/>
        </w:rPr>
      </w:pPr>
    </w:p>
    <w:p w14:paraId="7445D35A"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35CA16A3" w14:textId="5F1AA522" w:rsidR="004533BA" w:rsidRPr="007F3E09" w:rsidRDefault="004533BA" w:rsidP="00CE631F">
      <w:pPr>
        <w:pStyle w:val="Heading2"/>
        <w:rPr>
          <w:rFonts w:ascii="Arial" w:eastAsia="Times New Roman" w:hAnsi="Arial" w:cs="Arial"/>
          <w:sz w:val="40"/>
          <w:szCs w:val="40"/>
          <w:lang w:eastAsia="en-GB"/>
        </w:rPr>
      </w:pPr>
      <w:bookmarkStart w:id="4" w:name="_Toc135215602"/>
      <w:r w:rsidRPr="007F3E09">
        <w:rPr>
          <w:rFonts w:ascii="Arial" w:eastAsia="Times New Roman" w:hAnsi="Arial" w:cs="Arial"/>
          <w:sz w:val="40"/>
          <w:szCs w:val="40"/>
          <w:lang w:eastAsia="en-GB"/>
        </w:rPr>
        <w:t>H</w:t>
      </w:r>
      <w:r w:rsidR="00CE631F" w:rsidRPr="007F3E09">
        <w:rPr>
          <w:rFonts w:ascii="Arial" w:eastAsia="Times New Roman" w:hAnsi="Arial" w:cs="Arial"/>
          <w:sz w:val="40"/>
          <w:szCs w:val="40"/>
          <w:lang w:eastAsia="en-GB"/>
        </w:rPr>
        <w:t>ow to raise a concern</w:t>
      </w:r>
      <w:bookmarkEnd w:id="4"/>
      <w:r w:rsidRPr="007F3E09">
        <w:rPr>
          <w:rFonts w:ascii="Arial" w:eastAsia="Times New Roman" w:hAnsi="Arial" w:cs="Arial"/>
          <w:sz w:val="40"/>
          <w:szCs w:val="40"/>
          <w:lang w:eastAsia="en-GB"/>
        </w:rPr>
        <w:t xml:space="preserve"> </w:t>
      </w:r>
    </w:p>
    <w:p w14:paraId="24D33745" w14:textId="77777777" w:rsidR="004533BA" w:rsidRPr="006462AA" w:rsidRDefault="004533BA" w:rsidP="004533BA">
      <w:pPr>
        <w:spacing w:after="0"/>
        <w:rPr>
          <w:rFonts w:ascii="Times New Roman" w:eastAsia="Times New Roman" w:hAnsi="Times New Roman" w:cs="Times New Roman"/>
          <w:color w:val="000000"/>
          <w:sz w:val="24"/>
          <w:szCs w:val="24"/>
          <w:lang w:eastAsia="en-GB"/>
        </w:rPr>
      </w:pPr>
      <w:r w:rsidRPr="006462AA">
        <w:rPr>
          <w:rFonts w:ascii="Times New Roman" w:eastAsia="Times New Roman" w:hAnsi="Times New Roman" w:cs="Times New Roman"/>
          <w:color w:val="000000"/>
          <w:sz w:val="24"/>
          <w:szCs w:val="24"/>
          <w:lang w:eastAsia="en-GB"/>
        </w:rPr>
        <w:t xml:space="preserve"> </w:t>
      </w:r>
    </w:p>
    <w:p w14:paraId="55FC138D" w14:textId="00C0F609"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Whistleblowers should normally raise concerns with their immediate line manager. However, if it is believed that their line manager is involved in the malpractice being reported or has failed to take appropriate action when the matter has been raised previously, then their concern should be raised with the Chair of Governors. Contractors should report concerns to their contract manager. </w:t>
      </w:r>
    </w:p>
    <w:p w14:paraId="4286FEFC"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4FF0DF90" w14:textId="16D74F5C"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It is, however, appreciated that there may be times when whistleblowers, including contractors, feel unable to use the above procedure; the issue may involve line managers and senior </w:t>
      </w:r>
      <w:r w:rsidR="00A63DC0" w:rsidRPr="006462AA">
        <w:rPr>
          <w:sz w:val="24"/>
          <w:szCs w:val="24"/>
          <w:lang w:eastAsia="en-GB"/>
        </w:rPr>
        <w:t xml:space="preserve">members of staff, </w:t>
      </w:r>
      <w:r w:rsidRPr="006462AA">
        <w:rPr>
          <w:sz w:val="24"/>
          <w:szCs w:val="24"/>
          <w:lang w:eastAsia="en-GB"/>
        </w:rPr>
        <w:t xml:space="preserve">or the issue was already raised through the normal channels but had not been addressed or resolved. In these </w:t>
      </w:r>
      <w:proofErr w:type="gramStart"/>
      <w:r w:rsidRPr="006462AA">
        <w:rPr>
          <w:sz w:val="24"/>
          <w:szCs w:val="24"/>
          <w:lang w:eastAsia="en-GB"/>
        </w:rPr>
        <w:t>cases</w:t>
      </w:r>
      <w:proofErr w:type="gramEnd"/>
      <w:r w:rsidRPr="006462AA">
        <w:rPr>
          <w:sz w:val="24"/>
          <w:szCs w:val="24"/>
          <w:lang w:eastAsia="en-GB"/>
        </w:rPr>
        <w:t xml:space="preserve"> they can contact the </w:t>
      </w:r>
      <w:r w:rsidR="00AC219A" w:rsidRPr="006462AA">
        <w:rPr>
          <w:sz w:val="24"/>
          <w:szCs w:val="24"/>
          <w:lang w:eastAsia="en-GB"/>
        </w:rPr>
        <w:t>Ironstone Academy Trust’s</w:t>
      </w:r>
      <w:r w:rsidRPr="006462AA">
        <w:rPr>
          <w:sz w:val="24"/>
          <w:szCs w:val="24"/>
          <w:lang w:eastAsia="en-GB"/>
        </w:rPr>
        <w:t xml:space="preserve"> </w:t>
      </w:r>
      <w:r w:rsidR="0049587D" w:rsidRPr="006462AA">
        <w:rPr>
          <w:sz w:val="24"/>
          <w:szCs w:val="24"/>
          <w:lang w:eastAsia="en-GB"/>
        </w:rPr>
        <w:t xml:space="preserve">CEO or CFOO. </w:t>
      </w:r>
    </w:p>
    <w:p w14:paraId="66BD853B"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0FAD142F" w14:textId="06381A7F"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If anonymous concerns are raised through social </w:t>
      </w:r>
      <w:proofErr w:type="gramStart"/>
      <w:r w:rsidRPr="006462AA">
        <w:rPr>
          <w:sz w:val="24"/>
          <w:szCs w:val="24"/>
          <w:lang w:eastAsia="en-GB"/>
        </w:rPr>
        <w:t>media</w:t>
      </w:r>
      <w:proofErr w:type="gramEnd"/>
      <w:r w:rsidRPr="006462AA">
        <w:rPr>
          <w:sz w:val="24"/>
          <w:szCs w:val="24"/>
          <w:lang w:eastAsia="en-GB"/>
        </w:rPr>
        <w:t xml:space="preserve"> then they will be considered under the more general counter fraud framework or complaints policy unless it is beyond doubt that the person raising the concern is an employee or contractor of the </w:t>
      </w:r>
      <w:r w:rsidR="00B8286B" w:rsidRPr="006462AA">
        <w:rPr>
          <w:sz w:val="24"/>
          <w:szCs w:val="24"/>
          <w:lang w:eastAsia="en-GB"/>
        </w:rPr>
        <w:t>Ironstone Academy Trust</w:t>
      </w:r>
      <w:r w:rsidR="00F50CB6" w:rsidRPr="006462AA">
        <w:rPr>
          <w:sz w:val="24"/>
          <w:szCs w:val="24"/>
          <w:lang w:eastAsia="en-GB"/>
        </w:rPr>
        <w:t xml:space="preserve">. </w:t>
      </w:r>
    </w:p>
    <w:p w14:paraId="7DEC0A30"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634FDFB4" w14:textId="29BC504E" w:rsidR="004533BA" w:rsidRPr="007F3E09" w:rsidRDefault="004533BA" w:rsidP="00CE631F">
      <w:pPr>
        <w:pStyle w:val="Heading2"/>
        <w:rPr>
          <w:rFonts w:ascii="Arial" w:eastAsia="Times New Roman" w:hAnsi="Arial" w:cs="Arial"/>
          <w:sz w:val="40"/>
          <w:szCs w:val="40"/>
          <w:lang w:eastAsia="en-GB"/>
        </w:rPr>
      </w:pPr>
      <w:bookmarkStart w:id="5" w:name="_Toc135215603"/>
      <w:r w:rsidRPr="007F3E09">
        <w:rPr>
          <w:rFonts w:ascii="Arial" w:eastAsia="Times New Roman" w:hAnsi="Arial" w:cs="Arial"/>
          <w:sz w:val="40"/>
          <w:szCs w:val="40"/>
          <w:lang w:eastAsia="en-GB"/>
        </w:rPr>
        <w:t>H</w:t>
      </w:r>
      <w:r w:rsidR="00CE631F" w:rsidRPr="007F3E09">
        <w:rPr>
          <w:rFonts w:ascii="Arial" w:eastAsia="Times New Roman" w:hAnsi="Arial" w:cs="Arial"/>
          <w:sz w:val="40"/>
          <w:szCs w:val="40"/>
          <w:lang w:eastAsia="en-GB"/>
        </w:rPr>
        <w:t xml:space="preserve">ow the </w:t>
      </w:r>
      <w:r w:rsidR="00F50CB6" w:rsidRPr="007F3E09">
        <w:rPr>
          <w:rFonts w:ascii="Arial" w:eastAsia="Times New Roman" w:hAnsi="Arial" w:cs="Arial"/>
          <w:sz w:val="40"/>
          <w:szCs w:val="40"/>
          <w:lang w:eastAsia="en-GB"/>
        </w:rPr>
        <w:t>school</w:t>
      </w:r>
      <w:r w:rsidR="00CE631F" w:rsidRPr="007F3E09">
        <w:rPr>
          <w:rFonts w:ascii="Arial" w:eastAsia="Times New Roman" w:hAnsi="Arial" w:cs="Arial"/>
          <w:sz w:val="40"/>
          <w:szCs w:val="40"/>
          <w:lang w:eastAsia="en-GB"/>
        </w:rPr>
        <w:t xml:space="preserve"> will respond</w:t>
      </w:r>
      <w:bookmarkEnd w:id="5"/>
      <w:r w:rsidRPr="007F3E09">
        <w:rPr>
          <w:rFonts w:ascii="Arial" w:eastAsia="Times New Roman" w:hAnsi="Arial" w:cs="Arial"/>
          <w:sz w:val="40"/>
          <w:szCs w:val="40"/>
          <w:lang w:eastAsia="en-GB"/>
        </w:rPr>
        <w:t xml:space="preserve"> </w:t>
      </w:r>
    </w:p>
    <w:p w14:paraId="0A45D76F"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3466650A" w14:textId="015F246D" w:rsidR="004533BA" w:rsidRPr="006462AA" w:rsidRDefault="004533BA" w:rsidP="00CE631F">
      <w:pPr>
        <w:pStyle w:val="ListParagraph"/>
        <w:numPr>
          <w:ilvl w:val="1"/>
          <w:numId w:val="6"/>
        </w:numPr>
        <w:rPr>
          <w:sz w:val="24"/>
          <w:szCs w:val="24"/>
          <w:lang w:eastAsia="en-GB"/>
        </w:rPr>
      </w:pPr>
      <w:r w:rsidRPr="1FAE0BA4">
        <w:rPr>
          <w:sz w:val="24"/>
          <w:szCs w:val="24"/>
          <w:lang w:eastAsia="en-GB"/>
        </w:rPr>
        <w:t>All whistleblowing reports will be carefully considered and initial enquiries will be made to help decide whether an investigation is appropriate and if so</w:t>
      </w:r>
      <w:r w:rsidR="370FCD15" w:rsidRPr="1FAE0BA4">
        <w:rPr>
          <w:sz w:val="24"/>
          <w:szCs w:val="24"/>
          <w:lang w:eastAsia="en-GB"/>
        </w:rPr>
        <w:t>,</w:t>
      </w:r>
      <w:r w:rsidRPr="1FAE0BA4">
        <w:rPr>
          <w:sz w:val="24"/>
          <w:szCs w:val="24"/>
          <w:lang w:eastAsia="en-GB"/>
        </w:rPr>
        <w:t xml:space="preserve"> what form it should take. </w:t>
      </w:r>
    </w:p>
    <w:p w14:paraId="573EEE73"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244E8600" w14:textId="604F5ED3"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will aim to acknowledge all whistleblowing reports within five working days. The officer(s) assigned to carry out the whistleblowing investigation will endeavour to write or speak to the whistleblower promptly to provide additional information on how the investigation will progress.  </w:t>
      </w:r>
    </w:p>
    <w:p w14:paraId="737767C4"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46D4CC21" w14:textId="7DE801A2"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Officers assigned to investigate a whistleblowing report will be determined by the nature of the report, </w:t>
      </w:r>
      <w:proofErr w:type="gramStart"/>
      <w:r w:rsidRPr="006462AA">
        <w:rPr>
          <w:sz w:val="24"/>
          <w:szCs w:val="24"/>
          <w:lang w:eastAsia="en-GB"/>
        </w:rPr>
        <w:t>e.g.</w:t>
      </w:r>
      <w:proofErr w:type="gramEnd"/>
      <w:r w:rsidRPr="006462AA">
        <w:rPr>
          <w:sz w:val="24"/>
          <w:szCs w:val="24"/>
          <w:lang w:eastAsia="en-GB"/>
        </w:rPr>
        <w:t xml:space="preserve"> safety issues could be investigated by the Health &amp; Safety Team, alleged fraud or criminality by the Counter Fraud Team, employment issues by a manager from another service with support from Human Resources. </w:t>
      </w:r>
    </w:p>
    <w:p w14:paraId="6CA7E6A0"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004783C3" w14:textId="6072295B"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amount of contact between the officers considering the issues and the whistleblower will depend on the nature of the matters raised, the potential difficulties involved and the clarity of the information provided. If necessary, further information may be sought from the whistleblower. </w:t>
      </w:r>
    </w:p>
    <w:p w14:paraId="5296783A" w14:textId="77777777" w:rsidR="004533BA" w:rsidRPr="006462AA" w:rsidRDefault="004533BA" w:rsidP="00CE631F">
      <w:pPr>
        <w:pStyle w:val="ListParagraph"/>
        <w:rPr>
          <w:sz w:val="24"/>
          <w:szCs w:val="24"/>
          <w:lang w:eastAsia="en-GB"/>
        </w:rPr>
      </w:pPr>
      <w:r w:rsidRPr="006462AA">
        <w:rPr>
          <w:sz w:val="24"/>
          <w:szCs w:val="24"/>
          <w:lang w:eastAsia="en-GB"/>
        </w:rPr>
        <w:lastRenderedPageBreak/>
        <w:t xml:space="preserve"> </w:t>
      </w:r>
    </w:p>
    <w:p w14:paraId="718F1F3D" w14:textId="5E2234C2" w:rsidR="004533BA" w:rsidRPr="006462AA" w:rsidRDefault="004533BA" w:rsidP="00CE631F">
      <w:pPr>
        <w:pStyle w:val="ListParagraph"/>
        <w:numPr>
          <w:ilvl w:val="1"/>
          <w:numId w:val="6"/>
        </w:numPr>
        <w:rPr>
          <w:sz w:val="24"/>
          <w:szCs w:val="24"/>
          <w:lang w:eastAsia="en-GB"/>
        </w:rPr>
      </w:pPr>
      <w:r w:rsidRPr="006462AA">
        <w:rPr>
          <w:sz w:val="24"/>
          <w:szCs w:val="24"/>
          <w:lang w:eastAsia="en-GB"/>
        </w:rPr>
        <w:t>If a face</w:t>
      </w:r>
      <w:r w:rsidR="00906240" w:rsidRPr="006462AA">
        <w:rPr>
          <w:sz w:val="24"/>
          <w:szCs w:val="24"/>
          <w:lang w:eastAsia="en-GB"/>
        </w:rPr>
        <w:t>-</w:t>
      </w:r>
      <w:r w:rsidRPr="006462AA">
        <w:rPr>
          <w:sz w:val="24"/>
          <w:szCs w:val="24"/>
          <w:lang w:eastAsia="en-GB"/>
        </w:rPr>
        <w:t>to</w:t>
      </w:r>
      <w:r w:rsidR="00906240" w:rsidRPr="006462AA">
        <w:rPr>
          <w:sz w:val="24"/>
          <w:szCs w:val="24"/>
          <w:lang w:eastAsia="en-GB"/>
        </w:rPr>
        <w:t>-</w:t>
      </w:r>
      <w:r w:rsidRPr="006462AA">
        <w:rPr>
          <w:sz w:val="24"/>
          <w:szCs w:val="24"/>
          <w:lang w:eastAsia="en-GB"/>
        </w:rPr>
        <w:t xml:space="preserve">face meeting is necessary or desirable the whistleblower has the right, if they so wish, to be accompanied by a Union representative or a colleague who is not involved in the area of work to which the concern relates. </w:t>
      </w:r>
    </w:p>
    <w:p w14:paraId="1AAE4B0B"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2B819D6B" w14:textId="2626A3C5"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will, as far as it is able, take steps to minimise any difficulties that the whistleblower may experience as a result of raising a concern. For instance, if they are required to give evidence in criminal or disciplinary proceedings, the </w:t>
      </w:r>
      <w:r w:rsidR="00B8286B" w:rsidRPr="006462AA">
        <w:rPr>
          <w:sz w:val="24"/>
          <w:szCs w:val="24"/>
          <w:lang w:eastAsia="en-GB"/>
        </w:rPr>
        <w:t>Ironstone Academy Trust</w:t>
      </w:r>
      <w:r w:rsidRPr="006462AA">
        <w:rPr>
          <w:sz w:val="24"/>
          <w:szCs w:val="24"/>
          <w:lang w:eastAsia="en-GB"/>
        </w:rPr>
        <w:t xml:space="preserve"> will, where appropriate and as far as it is able to do so, provide advice about the process. </w:t>
      </w:r>
    </w:p>
    <w:p w14:paraId="2680E318" w14:textId="77777777" w:rsidR="004533BA" w:rsidRPr="006462AA" w:rsidRDefault="004533BA" w:rsidP="00CE631F">
      <w:pPr>
        <w:pStyle w:val="ListParagraph"/>
        <w:rPr>
          <w:sz w:val="24"/>
          <w:szCs w:val="24"/>
          <w:lang w:eastAsia="en-GB"/>
        </w:rPr>
      </w:pPr>
      <w:r w:rsidRPr="006462AA">
        <w:rPr>
          <w:sz w:val="24"/>
          <w:szCs w:val="24"/>
          <w:lang w:eastAsia="en-GB"/>
        </w:rPr>
        <w:t xml:space="preserve"> </w:t>
      </w:r>
    </w:p>
    <w:p w14:paraId="3994E5AA" w14:textId="2FCB45CD" w:rsidR="004533BA" w:rsidRPr="006462AA" w:rsidRDefault="004533BA" w:rsidP="00CE631F">
      <w:pPr>
        <w:pStyle w:val="ListParagraph"/>
        <w:numPr>
          <w:ilvl w:val="1"/>
          <w:numId w:val="6"/>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accepts the whistleblower needs to be assured that the matter has been addressed. Thus, subject to any legal constraints, </w:t>
      </w:r>
      <w:proofErr w:type="gramStart"/>
      <w:r w:rsidRPr="006462AA">
        <w:rPr>
          <w:sz w:val="24"/>
          <w:szCs w:val="24"/>
          <w:lang w:eastAsia="en-GB"/>
        </w:rPr>
        <w:t>e.g.</w:t>
      </w:r>
      <w:proofErr w:type="gramEnd"/>
      <w:r w:rsidRPr="006462AA">
        <w:rPr>
          <w:sz w:val="24"/>
          <w:szCs w:val="24"/>
          <w:lang w:eastAsia="en-GB"/>
        </w:rPr>
        <w:t xml:space="preserve"> data protection, information about the outcomes of any investigations will be provided. </w:t>
      </w:r>
    </w:p>
    <w:p w14:paraId="03E11439" w14:textId="77777777" w:rsidR="007F3E09" w:rsidRDefault="007F3E09" w:rsidP="007F3E09">
      <w:pPr>
        <w:pStyle w:val="ListParagraph"/>
        <w:rPr>
          <w:lang w:eastAsia="en-GB"/>
        </w:rPr>
      </w:pPr>
    </w:p>
    <w:p w14:paraId="24419AEC" w14:textId="269D7AD4" w:rsidR="007F3E09" w:rsidRDefault="007F3E09" w:rsidP="007F3E09">
      <w:pPr>
        <w:pStyle w:val="Heading2"/>
        <w:numPr>
          <w:ilvl w:val="0"/>
          <w:numId w:val="0"/>
        </w:numPr>
        <w:ind w:left="360"/>
        <w:rPr>
          <w:lang w:eastAsia="en-GB"/>
        </w:rPr>
      </w:pPr>
    </w:p>
    <w:p w14:paraId="027DE89E" w14:textId="3351A175" w:rsidR="007F3E09" w:rsidRDefault="007F3E09" w:rsidP="007F3E09">
      <w:pPr>
        <w:rPr>
          <w:lang w:eastAsia="en-GB"/>
        </w:rPr>
      </w:pPr>
    </w:p>
    <w:p w14:paraId="5DABD7DA" w14:textId="77777777" w:rsidR="007F3E09" w:rsidRPr="007F3E09" w:rsidRDefault="007F3E09" w:rsidP="007F3E09">
      <w:pPr>
        <w:rPr>
          <w:lang w:eastAsia="en-GB"/>
        </w:rPr>
      </w:pPr>
    </w:p>
    <w:p w14:paraId="55EA38D9" w14:textId="49C7146A" w:rsidR="004533BA" w:rsidRPr="00061ADD" w:rsidRDefault="004533BA" w:rsidP="00B45B9A">
      <w:pPr>
        <w:pStyle w:val="ListParagraph"/>
        <w:rPr>
          <w:lang w:eastAsia="en-GB"/>
        </w:rPr>
      </w:pPr>
      <w:r w:rsidRPr="00061ADD">
        <w:rPr>
          <w:lang w:eastAsia="en-GB"/>
        </w:rPr>
        <w:t xml:space="preserve"> </w:t>
      </w:r>
    </w:p>
    <w:p w14:paraId="1593C642" w14:textId="2191E65D" w:rsidR="004533BA" w:rsidRPr="007F3E09" w:rsidRDefault="004533BA" w:rsidP="005319D6">
      <w:pPr>
        <w:pStyle w:val="Heading2"/>
        <w:rPr>
          <w:rFonts w:ascii="Arial" w:eastAsia="Times New Roman" w:hAnsi="Arial" w:cs="Arial"/>
          <w:sz w:val="40"/>
          <w:szCs w:val="40"/>
          <w:lang w:eastAsia="en-GB"/>
        </w:rPr>
      </w:pPr>
      <w:bookmarkStart w:id="6" w:name="_Toc135215604"/>
      <w:r w:rsidRPr="007F3E09">
        <w:rPr>
          <w:rFonts w:ascii="Arial" w:eastAsia="Times New Roman" w:hAnsi="Arial" w:cs="Arial"/>
          <w:sz w:val="40"/>
          <w:szCs w:val="40"/>
          <w:lang w:eastAsia="en-GB"/>
        </w:rPr>
        <w:t>H</w:t>
      </w:r>
      <w:r w:rsidR="005319D6" w:rsidRPr="007F3E09">
        <w:rPr>
          <w:rFonts w:ascii="Arial" w:eastAsia="Times New Roman" w:hAnsi="Arial" w:cs="Arial"/>
          <w:sz w:val="40"/>
          <w:szCs w:val="40"/>
          <w:lang w:eastAsia="en-GB"/>
        </w:rPr>
        <w:t>ow matters can be taken further</w:t>
      </w:r>
      <w:bookmarkEnd w:id="6"/>
      <w:r w:rsidR="005319D6" w:rsidRPr="007F3E09">
        <w:rPr>
          <w:rFonts w:ascii="Arial" w:eastAsia="Times New Roman" w:hAnsi="Arial" w:cs="Arial"/>
          <w:sz w:val="40"/>
          <w:szCs w:val="40"/>
          <w:lang w:eastAsia="en-GB"/>
        </w:rPr>
        <w:t xml:space="preserve"> </w:t>
      </w:r>
    </w:p>
    <w:p w14:paraId="61299B41"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1435FF2E" w14:textId="387D256D" w:rsidR="004533BA" w:rsidRPr="006462AA" w:rsidRDefault="004533BA" w:rsidP="005319D6">
      <w:pPr>
        <w:pStyle w:val="ListParagraph"/>
        <w:numPr>
          <w:ilvl w:val="1"/>
          <w:numId w:val="6"/>
        </w:numPr>
        <w:rPr>
          <w:sz w:val="24"/>
          <w:szCs w:val="24"/>
          <w:lang w:eastAsia="en-GB"/>
        </w:rPr>
      </w:pPr>
      <w:r w:rsidRPr="006462AA">
        <w:rPr>
          <w:sz w:val="24"/>
          <w:szCs w:val="24"/>
          <w:lang w:eastAsia="en-GB"/>
        </w:rPr>
        <w:t xml:space="preserve">This policy is intended to provide staff with an appropriate avenue to raise concerns within the </w:t>
      </w:r>
      <w:r w:rsidR="00B8286B" w:rsidRPr="006462AA">
        <w:rPr>
          <w:sz w:val="24"/>
          <w:szCs w:val="24"/>
          <w:lang w:eastAsia="en-GB"/>
        </w:rPr>
        <w:t>Ironstone Academy Trust</w:t>
      </w:r>
      <w:r w:rsidRPr="006462AA">
        <w:rPr>
          <w:sz w:val="24"/>
          <w:szCs w:val="24"/>
          <w:lang w:eastAsia="en-GB"/>
        </w:rPr>
        <w:t xml:space="preserve">. If employees have reported concerns in accordance with the </w:t>
      </w:r>
      <w:r w:rsidR="00B8286B" w:rsidRPr="006462AA">
        <w:rPr>
          <w:sz w:val="24"/>
          <w:szCs w:val="24"/>
          <w:lang w:eastAsia="en-GB"/>
        </w:rPr>
        <w:t>Ironstone Academy Trust</w:t>
      </w:r>
      <w:r w:rsidR="00F50CB6" w:rsidRPr="006462AA">
        <w:rPr>
          <w:sz w:val="24"/>
          <w:szCs w:val="24"/>
          <w:lang w:eastAsia="en-GB"/>
        </w:rPr>
        <w:t xml:space="preserve"> </w:t>
      </w:r>
      <w:r w:rsidRPr="006462AA">
        <w:rPr>
          <w:sz w:val="24"/>
          <w:szCs w:val="24"/>
          <w:lang w:eastAsia="en-GB"/>
        </w:rPr>
        <w:t>whistleblowing policy but are not satisfied that the issues have been properly addressed</w:t>
      </w:r>
      <w:r w:rsidR="005319D6" w:rsidRPr="006462AA">
        <w:rPr>
          <w:sz w:val="24"/>
          <w:szCs w:val="24"/>
          <w:lang w:eastAsia="en-GB"/>
        </w:rPr>
        <w:t>,</w:t>
      </w:r>
      <w:r w:rsidRPr="006462AA">
        <w:rPr>
          <w:sz w:val="24"/>
          <w:szCs w:val="24"/>
          <w:lang w:eastAsia="en-GB"/>
        </w:rPr>
        <w:t xml:space="preserve"> then they may contact:  </w:t>
      </w:r>
    </w:p>
    <w:p w14:paraId="768B5722" w14:textId="77777777" w:rsidR="004533BA" w:rsidRPr="006462AA" w:rsidRDefault="004533BA" w:rsidP="004533BA">
      <w:pPr>
        <w:spacing w:after="3"/>
        <w:rPr>
          <w:rFonts w:ascii="Times New Roman" w:eastAsia="Times New Roman" w:hAnsi="Times New Roman" w:cs="Times New Roman"/>
          <w:color w:val="000000"/>
          <w:sz w:val="24"/>
          <w:szCs w:val="24"/>
          <w:lang w:eastAsia="en-GB"/>
        </w:rPr>
      </w:pPr>
      <w:r w:rsidRPr="006462AA">
        <w:rPr>
          <w:rFonts w:ascii="Times New Roman" w:eastAsia="Times New Roman" w:hAnsi="Times New Roman" w:cs="Times New Roman"/>
          <w:color w:val="000000"/>
          <w:sz w:val="24"/>
          <w:szCs w:val="24"/>
          <w:lang w:eastAsia="en-GB"/>
        </w:rPr>
        <w:t xml:space="preserve"> </w:t>
      </w:r>
    </w:p>
    <w:p w14:paraId="5A9AA1DF" w14:textId="20E355C7" w:rsidR="004533BA" w:rsidRPr="006462AA" w:rsidRDefault="004533BA" w:rsidP="005319D6">
      <w:pPr>
        <w:pStyle w:val="ListParagraph"/>
        <w:numPr>
          <w:ilvl w:val="0"/>
          <w:numId w:val="15"/>
        </w:numPr>
        <w:rPr>
          <w:sz w:val="24"/>
          <w:szCs w:val="24"/>
          <w:lang w:eastAsia="en-GB"/>
        </w:rPr>
      </w:pPr>
      <w:r w:rsidRPr="006462AA">
        <w:rPr>
          <w:sz w:val="24"/>
          <w:szCs w:val="24"/>
          <w:lang w:eastAsia="en-GB"/>
        </w:rPr>
        <w:t xml:space="preserve">the </w:t>
      </w:r>
      <w:r w:rsidR="00B8286B" w:rsidRPr="006462AA">
        <w:rPr>
          <w:sz w:val="24"/>
          <w:szCs w:val="24"/>
          <w:lang w:eastAsia="en-GB"/>
        </w:rPr>
        <w:t>Ironstone Academy Trust</w:t>
      </w:r>
      <w:r w:rsidRPr="006462AA">
        <w:rPr>
          <w:sz w:val="24"/>
          <w:szCs w:val="24"/>
          <w:lang w:eastAsia="en-GB"/>
        </w:rPr>
        <w:t xml:space="preserve"> External Auditor </w:t>
      </w:r>
    </w:p>
    <w:p w14:paraId="7940BEDA" w14:textId="77777777" w:rsidR="004533BA" w:rsidRPr="006462AA" w:rsidRDefault="004533BA" w:rsidP="005319D6">
      <w:pPr>
        <w:pStyle w:val="ListParagraph"/>
        <w:numPr>
          <w:ilvl w:val="0"/>
          <w:numId w:val="15"/>
        </w:numPr>
        <w:rPr>
          <w:sz w:val="24"/>
          <w:szCs w:val="24"/>
          <w:lang w:eastAsia="en-GB"/>
        </w:rPr>
      </w:pPr>
      <w:r w:rsidRPr="006462AA">
        <w:rPr>
          <w:sz w:val="24"/>
          <w:szCs w:val="24"/>
          <w:lang w:eastAsia="en-GB"/>
        </w:rPr>
        <w:t>the NSPCC or Ofsted (for concerns about children at risk of abuse)</w:t>
      </w:r>
      <w:r w:rsidRPr="006462AA">
        <w:rPr>
          <w:sz w:val="24"/>
          <w:szCs w:val="24"/>
          <w:vertAlign w:val="superscript"/>
          <w:lang w:eastAsia="en-GB"/>
        </w:rPr>
        <w:footnoteReference w:id="1"/>
      </w:r>
      <w:r w:rsidRPr="006462AA">
        <w:rPr>
          <w:sz w:val="24"/>
          <w:szCs w:val="24"/>
          <w:lang w:eastAsia="en-GB"/>
        </w:rPr>
        <w:t xml:space="preserve">; </w:t>
      </w:r>
    </w:p>
    <w:p w14:paraId="43E69F0A" w14:textId="77777777" w:rsidR="004533BA" w:rsidRPr="006462AA" w:rsidRDefault="004533BA" w:rsidP="005319D6">
      <w:pPr>
        <w:pStyle w:val="ListParagraph"/>
        <w:numPr>
          <w:ilvl w:val="0"/>
          <w:numId w:val="15"/>
        </w:numPr>
        <w:rPr>
          <w:sz w:val="24"/>
          <w:szCs w:val="24"/>
          <w:lang w:eastAsia="en-GB"/>
        </w:rPr>
      </w:pPr>
      <w:r w:rsidRPr="006462AA">
        <w:rPr>
          <w:sz w:val="24"/>
          <w:szCs w:val="24"/>
          <w:lang w:eastAsia="en-GB"/>
        </w:rPr>
        <w:t>relevant professional bodies or regulatory organisations</w:t>
      </w:r>
      <w:r w:rsidRPr="006462AA">
        <w:rPr>
          <w:sz w:val="24"/>
          <w:szCs w:val="24"/>
          <w:vertAlign w:val="superscript"/>
          <w:lang w:eastAsia="en-GB"/>
        </w:rPr>
        <w:footnoteReference w:id="2"/>
      </w:r>
      <w:r w:rsidRPr="006462AA">
        <w:rPr>
          <w:sz w:val="24"/>
          <w:szCs w:val="24"/>
          <w:lang w:eastAsia="en-GB"/>
        </w:rPr>
        <w:t xml:space="preserve">, for example, the Information Commissioner’s Office, Care and Quality Commission (CQC), and the Health and Safety Executive. </w:t>
      </w:r>
    </w:p>
    <w:p w14:paraId="01702791" w14:textId="77777777" w:rsidR="004533BA" w:rsidRPr="006462AA" w:rsidRDefault="004533BA" w:rsidP="004533BA">
      <w:pPr>
        <w:spacing w:after="0"/>
        <w:rPr>
          <w:rFonts w:ascii="Times New Roman" w:eastAsia="Times New Roman" w:hAnsi="Times New Roman" w:cs="Times New Roman"/>
          <w:color w:val="000000"/>
          <w:sz w:val="24"/>
          <w:szCs w:val="24"/>
          <w:lang w:eastAsia="en-GB"/>
        </w:rPr>
      </w:pPr>
      <w:r w:rsidRPr="006462AA">
        <w:rPr>
          <w:rFonts w:ascii="Times New Roman" w:eastAsia="Times New Roman" w:hAnsi="Times New Roman" w:cs="Times New Roman"/>
          <w:color w:val="000000"/>
          <w:sz w:val="24"/>
          <w:szCs w:val="24"/>
          <w:lang w:eastAsia="en-GB"/>
        </w:rPr>
        <w:t xml:space="preserve"> </w:t>
      </w:r>
    </w:p>
    <w:p w14:paraId="17DC74B3" w14:textId="64B3F9F8" w:rsidR="004533BA" w:rsidRPr="006462AA" w:rsidRDefault="004533BA" w:rsidP="005319D6">
      <w:pPr>
        <w:pStyle w:val="ListParagraph"/>
        <w:numPr>
          <w:ilvl w:val="1"/>
          <w:numId w:val="6"/>
        </w:numPr>
        <w:rPr>
          <w:sz w:val="24"/>
          <w:szCs w:val="24"/>
          <w:lang w:eastAsia="en-GB"/>
        </w:rPr>
      </w:pPr>
      <w:r w:rsidRPr="006462AA">
        <w:rPr>
          <w:sz w:val="24"/>
          <w:szCs w:val="24"/>
          <w:lang w:eastAsia="en-GB"/>
        </w:rPr>
        <w:t>Disclosure of a concern to a non-prescribed body (</w:t>
      </w:r>
      <w:proofErr w:type="gramStart"/>
      <w:r w:rsidRPr="006462AA">
        <w:rPr>
          <w:sz w:val="24"/>
          <w:szCs w:val="24"/>
          <w:lang w:eastAsia="en-GB"/>
        </w:rPr>
        <w:t>e.g.</w:t>
      </w:r>
      <w:proofErr w:type="gramEnd"/>
      <w:r w:rsidRPr="006462AA">
        <w:rPr>
          <w:sz w:val="24"/>
          <w:szCs w:val="24"/>
          <w:lang w:eastAsia="en-GB"/>
        </w:rPr>
        <w:t xml:space="preserve"> newspapers or social media) is not covered by whistleblowing legislation and the protections it offers. Before undertaking this type of </w:t>
      </w:r>
      <w:r w:rsidR="00EB62F7" w:rsidRPr="006462AA">
        <w:rPr>
          <w:sz w:val="24"/>
          <w:szCs w:val="24"/>
          <w:lang w:eastAsia="en-GB"/>
        </w:rPr>
        <w:t>action,</w:t>
      </w:r>
      <w:r w:rsidRPr="006462AA">
        <w:rPr>
          <w:sz w:val="24"/>
          <w:szCs w:val="24"/>
          <w:lang w:eastAsia="en-GB"/>
        </w:rPr>
        <w:t xml:space="preserve"> it is recommended that staff seek specialist advice. </w:t>
      </w:r>
    </w:p>
    <w:p w14:paraId="2E6E3D59" w14:textId="77777777" w:rsidR="005319D6" w:rsidRPr="00061ADD" w:rsidRDefault="005319D6" w:rsidP="005319D6">
      <w:pPr>
        <w:pStyle w:val="ListParagraph"/>
        <w:rPr>
          <w:lang w:eastAsia="en-GB"/>
        </w:rPr>
      </w:pPr>
    </w:p>
    <w:p w14:paraId="7F75BB6F" w14:textId="5E4A07B2" w:rsidR="004533BA" w:rsidRPr="007F3E09" w:rsidRDefault="004533BA" w:rsidP="005319D6">
      <w:pPr>
        <w:pStyle w:val="Heading2"/>
        <w:rPr>
          <w:rFonts w:ascii="Arial" w:eastAsia="Times New Roman" w:hAnsi="Arial" w:cs="Arial"/>
          <w:sz w:val="40"/>
          <w:szCs w:val="40"/>
          <w:lang w:eastAsia="en-GB"/>
        </w:rPr>
      </w:pPr>
      <w:bookmarkStart w:id="7" w:name="_Toc135215605"/>
      <w:r w:rsidRPr="007F3E09">
        <w:rPr>
          <w:rFonts w:ascii="Arial" w:eastAsia="Times New Roman" w:hAnsi="Arial" w:cs="Arial"/>
          <w:sz w:val="40"/>
          <w:szCs w:val="40"/>
          <w:lang w:eastAsia="en-GB"/>
        </w:rPr>
        <w:t>I</w:t>
      </w:r>
      <w:r w:rsidR="005319D6" w:rsidRPr="007F3E09">
        <w:rPr>
          <w:rFonts w:ascii="Arial" w:eastAsia="Times New Roman" w:hAnsi="Arial" w:cs="Arial"/>
          <w:sz w:val="40"/>
          <w:szCs w:val="40"/>
          <w:lang w:eastAsia="en-GB"/>
        </w:rPr>
        <w:t>ndependent advice</w:t>
      </w:r>
      <w:bookmarkEnd w:id="7"/>
      <w:r w:rsidRPr="007F3E09">
        <w:rPr>
          <w:rFonts w:ascii="Arial" w:eastAsia="Times New Roman" w:hAnsi="Arial" w:cs="Arial"/>
          <w:sz w:val="40"/>
          <w:szCs w:val="40"/>
          <w:lang w:eastAsia="en-GB"/>
        </w:rPr>
        <w:t xml:space="preserve"> </w:t>
      </w:r>
    </w:p>
    <w:p w14:paraId="62A48B4E"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5D812473" w14:textId="06347DEF" w:rsidR="004533BA" w:rsidRPr="006462AA" w:rsidRDefault="004533BA" w:rsidP="005319D6">
      <w:pPr>
        <w:pStyle w:val="ListParagraph"/>
        <w:numPr>
          <w:ilvl w:val="1"/>
          <w:numId w:val="6"/>
        </w:numPr>
        <w:rPr>
          <w:sz w:val="24"/>
          <w:szCs w:val="24"/>
          <w:lang w:eastAsia="en-GB"/>
        </w:rPr>
      </w:pPr>
      <w:r w:rsidRPr="006462AA">
        <w:rPr>
          <w:sz w:val="24"/>
          <w:szCs w:val="24"/>
          <w:lang w:eastAsia="en-GB"/>
        </w:rPr>
        <w:t xml:space="preserve">Free confidential advice on how to raise a concern about malpractice at work can be sought from the independent charity PROTECT at </w:t>
      </w:r>
      <w:hyperlink r:id="rId12" w:history="1">
        <w:r w:rsidR="005319D6" w:rsidRPr="006462AA">
          <w:rPr>
            <w:rStyle w:val="Hyperlink"/>
            <w:sz w:val="24"/>
            <w:szCs w:val="24"/>
            <w:lang w:eastAsia="en-GB"/>
          </w:rPr>
          <w:t>www.protect-advice.org.uk</w:t>
        </w:r>
      </w:hyperlink>
      <w:r w:rsidR="005319D6" w:rsidRPr="006462AA">
        <w:rPr>
          <w:sz w:val="24"/>
          <w:szCs w:val="24"/>
          <w:lang w:eastAsia="en-GB"/>
        </w:rPr>
        <w:t xml:space="preserve">, </w:t>
      </w:r>
      <w:r w:rsidRPr="006462AA">
        <w:rPr>
          <w:sz w:val="24"/>
          <w:szCs w:val="24"/>
          <w:lang w:eastAsia="en-GB"/>
        </w:rPr>
        <w:t xml:space="preserve"> or via email </w:t>
      </w:r>
      <w:hyperlink r:id="rId13" w:history="1">
        <w:r w:rsidR="005319D6" w:rsidRPr="006462AA">
          <w:rPr>
            <w:rStyle w:val="Hyperlink"/>
            <w:sz w:val="24"/>
            <w:szCs w:val="24"/>
            <w:lang w:eastAsia="en-GB"/>
          </w:rPr>
          <w:t>info@protect-advice.org.uk</w:t>
        </w:r>
      </w:hyperlink>
      <w:r w:rsidR="005319D6" w:rsidRPr="006462AA">
        <w:rPr>
          <w:sz w:val="24"/>
          <w:szCs w:val="24"/>
          <w:lang w:eastAsia="en-GB"/>
        </w:rPr>
        <w:t>.</w:t>
      </w:r>
      <w:r w:rsidRPr="006462AA">
        <w:rPr>
          <w:sz w:val="24"/>
          <w:szCs w:val="24"/>
          <w:lang w:eastAsia="en-GB"/>
        </w:rPr>
        <w:t xml:space="preserve">  Their lawyers can give you free confidential advice at any stage about how to raise a concern about serious malpractice at work. </w:t>
      </w:r>
    </w:p>
    <w:p w14:paraId="3E6025F2"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55769B49" w14:textId="429AB395" w:rsidR="004533BA" w:rsidRPr="007F3E09" w:rsidRDefault="004533BA" w:rsidP="005319D6">
      <w:pPr>
        <w:pStyle w:val="Heading2"/>
        <w:rPr>
          <w:rFonts w:ascii="Arial" w:eastAsia="Times New Roman" w:hAnsi="Arial" w:cs="Arial"/>
          <w:sz w:val="40"/>
          <w:szCs w:val="40"/>
          <w:lang w:eastAsia="en-GB"/>
        </w:rPr>
      </w:pPr>
      <w:bookmarkStart w:id="8" w:name="_Toc135215606"/>
      <w:r w:rsidRPr="007F3E09">
        <w:rPr>
          <w:rFonts w:ascii="Arial" w:eastAsia="Times New Roman" w:hAnsi="Arial" w:cs="Arial"/>
          <w:sz w:val="40"/>
          <w:szCs w:val="40"/>
          <w:lang w:eastAsia="en-GB"/>
        </w:rPr>
        <w:lastRenderedPageBreak/>
        <w:t>G</w:t>
      </w:r>
      <w:r w:rsidR="005319D6" w:rsidRPr="007F3E09">
        <w:rPr>
          <w:rFonts w:ascii="Arial" w:eastAsia="Times New Roman" w:hAnsi="Arial" w:cs="Arial"/>
          <w:sz w:val="40"/>
          <w:szCs w:val="40"/>
          <w:lang w:eastAsia="en-GB"/>
        </w:rPr>
        <w:t>eneral data protection</w:t>
      </w:r>
      <w:bookmarkEnd w:id="8"/>
      <w:r w:rsidRPr="007F3E09">
        <w:rPr>
          <w:rFonts w:ascii="Arial" w:eastAsia="Times New Roman" w:hAnsi="Arial" w:cs="Arial"/>
          <w:sz w:val="40"/>
          <w:szCs w:val="40"/>
          <w:lang w:eastAsia="en-GB"/>
        </w:rPr>
        <w:t xml:space="preserve"> </w:t>
      </w:r>
    </w:p>
    <w:p w14:paraId="423021C0"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4B8BA19C" w14:textId="60FA72CD" w:rsidR="004533BA" w:rsidRPr="006462AA" w:rsidRDefault="005319D6" w:rsidP="005319D6">
      <w:pPr>
        <w:pStyle w:val="ListParagraph"/>
        <w:numPr>
          <w:ilvl w:val="1"/>
          <w:numId w:val="6"/>
        </w:numPr>
        <w:rPr>
          <w:sz w:val="24"/>
          <w:szCs w:val="24"/>
          <w:lang w:eastAsia="en-GB"/>
        </w:rPr>
      </w:pPr>
      <w:r w:rsidRPr="006462AA">
        <w:rPr>
          <w:sz w:val="24"/>
          <w:szCs w:val="24"/>
          <w:lang w:eastAsia="en-GB"/>
        </w:rPr>
        <w:t>W</w:t>
      </w:r>
      <w:r w:rsidR="004533BA" w:rsidRPr="006462AA">
        <w:rPr>
          <w:sz w:val="24"/>
          <w:szCs w:val="24"/>
          <w:lang w:eastAsia="en-GB"/>
        </w:rPr>
        <w:t xml:space="preserve">hen managing whistleblowing reports, the </w:t>
      </w:r>
      <w:r w:rsidR="00B8286B" w:rsidRPr="006462AA">
        <w:rPr>
          <w:sz w:val="24"/>
          <w:szCs w:val="24"/>
          <w:lang w:eastAsia="en-GB"/>
        </w:rPr>
        <w:t>Ironstone Academy Trust</w:t>
      </w:r>
      <w:r w:rsidR="004533BA" w:rsidRPr="006462AA">
        <w:rPr>
          <w:sz w:val="24"/>
          <w:szCs w:val="24"/>
          <w:lang w:eastAsia="en-GB"/>
        </w:rPr>
        <w:t xml:space="preserve"> processes personal data collected in accordance with its Information Governance policies. Data collected from the point at which a report is made is held securely and accessed by, and disclosed to, individuals only for the purposes of managing and investigating the concern raised.  </w:t>
      </w:r>
    </w:p>
    <w:p w14:paraId="46C3B5DD" w14:textId="77777777" w:rsidR="004533BA" w:rsidRPr="00061ADD" w:rsidRDefault="004533BA" w:rsidP="004533BA">
      <w:pPr>
        <w:spacing w:after="0"/>
        <w:rPr>
          <w:rFonts w:ascii="Times New Roman" w:eastAsia="Times New Roman" w:hAnsi="Times New Roman" w:cs="Times New Roman"/>
          <w:color w:val="000000"/>
          <w:sz w:val="23"/>
          <w:lang w:eastAsia="en-GB"/>
        </w:rPr>
      </w:pPr>
      <w:r w:rsidRPr="00061ADD">
        <w:rPr>
          <w:rFonts w:ascii="Times New Roman" w:eastAsia="Times New Roman" w:hAnsi="Times New Roman" w:cs="Times New Roman"/>
          <w:color w:val="000000"/>
          <w:sz w:val="23"/>
          <w:lang w:eastAsia="en-GB"/>
        </w:rPr>
        <w:t xml:space="preserve"> </w:t>
      </w:r>
    </w:p>
    <w:p w14:paraId="5D24B11B" w14:textId="1E9C9DA2" w:rsidR="004533BA" w:rsidRPr="00061ADD" w:rsidRDefault="004533BA" w:rsidP="005319D6">
      <w:pPr>
        <w:pStyle w:val="Heading2"/>
        <w:rPr>
          <w:rFonts w:eastAsia="Times New Roman"/>
          <w:lang w:eastAsia="en-GB"/>
        </w:rPr>
      </w:pPr>
      <w:bookmarkStart w:id="9" w:name="_Toc135215607"/>
      <w:r w:rsidRPr="007F3E09">
        <w:rPr>
          <w:rFonts w:ascii="Arial" w:eastAsia="Times New Roman" w:hAnsi="Arial" w:cs="Arial"/>
          <w:sz w:val="40"/>
          <w:szCs w:val="40"/>
          <w:lang w:eastAsia="en-GB"/>
        </w:rPr>
        <w:t>R</w:t>
      </w:r>
      <w:r w:rsidR="005319D6" w:rsidRPr="007F3E09">
        <w:rPr>
          <w:rFonts w:ascii="Arial" w:eastAsia="Times New Roman" w:hAnsi="Arial" w:cs="Arial"/>
          <w:sz w:val="40"/>
          <w:szCs w:val="40"/>
          <w:lang w:eastAsia="en-GB"/>
        </w:rPr>
        <w:t>eview of the policy</w:t>
      </w:r>
      <w:bookmarkEnd w:id="9"/>
      <w:r w:rsidRPr="00061ADD">
        <w:rPr>
          <w:rFonts w:eastAsia="Times New Roman"/>
          <w:lang w:eastAsia="en-GB"/>
        </w:rPr>
        <w:t xml:space="preserve"> </w:t>
      </w:r>
    </w:p>
    <w:p w14:paraId="63AB4022" w14:textId="77777777" w:rsidR="004533BA" w:rsidRPr="006462AA" w:rsidRDefault="004533BA" w:rsidP="004533BA">
      <w:pPr>
        <w:spacing w:after="0"/>
        <w:rPr>
          <w:rFonts w:ascii="Times New Roman" w:eastAsia="Times New Roman" w:hAnsi="Times New Roman" w:cs="Times New Roman"/>
          <w:color w:val="000000"/>
          <w:sz w:val="24"/>
          <w:szCs w:val="24"/>
          <w:lang w:eastAsia="en-GB"/>
        </w:rPr>
      </w:pPr>
      <w:r w:rsidRPr="006462AA">
        <w:rPr>
          <w:rFonts w:ascii="Times New Roman" w:eastAsia="Times New Roman" w:hAnsi="Times New Roman" w:cs="Times New Roman"/>
          <w:color w:val="000000"/>
          <w:sz w:val="24"/>
          <w:szCs w:val="24"/>
          <w:lang w:eastAsia="en-GB"/>
        </w:rPr>
        <w:t xml:space="preserve"> </w:t>
      </w:r>
    </w:p>
    <w:p w14:paraId="3BC844B3" w14:textId="2635D96D" w:rsidR="004533BA" w:rsidRPr="006462AA" w:rsidRDefault="004533BA" w:rsidP="005319D6">
      <w:pPr>
        <w:pStyle w:val="ListParagraph"/>
        <w:numPr>
          <w:ilvl w:val="1"/>
          <w:numId w:val="6"/>
        </w:numPr>
        <w:rPr>
          <w:sz w:val="24"/>
          <w:szCs w:val="24"/>
          <w:lang w:eastAsia="en-GB"/>
        </w:rPr>
      </w:pPr>
      <w:r w:rsidRPr="006462AA">
        <w:rPr>
          <w:sz w:val="24"/>
          <w:szCs w:val="24"/>
          <w:lang w:eastAsia="en-GB"/>
        </w:rPr>
        <w:t xml:space="preserve">The Policy will be reviewed at least every three years or when significant changes to whistleblowing legislation, the organisation or case law occurs. </w:t>
      </w:r>
    </w:p>
    <w:p w14:paraId="452D01BC" w14:textId="77777777" w:rsidR="00FC2DEA" w:rsidRPr="00061ADD" w:rsidRDefault="00FC2DEA">
      <w:pPr>
        <w:spacing w:after="160" w:line="259" w:lineRule="auto"/>
        <w:ind w:right="0"/>
        <w:jc w:val="left"/>
        <w:sectPr w:rsidR="00FC2DEA" w:rsidRPr="00061ADD" w:rsidSect="00D71B87">
          <w:footerReference w:type="even" r:id="rId14"/>
          <w:footerReference w:type="default" r:id="rId15"/>
          <w:headerReference w:type="first" r:id="rId16"/>
          <w:footerReference w:type="first" r:id="rId17"/>
          <w:type w:val="continuous"/>
          <w:pgSz w:w="11906" w:h="16838"/>
          <w:pgMar w:top="1077" w:right="707" w:bottom="426" w:left="851" w:header="708" w:footer="351" w:gutter="0"/>
          <w:pgNumType w:start="1"/>
          <w:cols w:space="708"/>
          <w:docGrid w:linePitch="360"/>
        </w:sectPr>
      </w:pPr>
    </w:p>
    <w:p w14:paraId="39FA1434" w14:textId="09E8340C" w:rsidR="00321064" w:rsidRPr="00061ADD" w:rsidRDefault="00321064">
      <w:pPr>
        <w:spacing w:after="160" w:line="259" w:lineRule="auto"/>
        <w:ind w:right="0"/>
        <w:jc w:val="left"/>
      </w:pPr>
      <w:r w:rsidRPr="00061ADD">
        <w:br w:type="page"/>
      </w:r>
    </w:p>
    <w:p w14:paraId="1AA96DC7" w14:textId="5006B921" w:rsidR="00321064" w:rsidRPr="006462AA" w:rsidRDefault="008C5511" w:rsidP="006462AA">
      <w:pPr>
        <w:pStyle w:val="Heading1"/>
      </w:pPr>
      <w:bookmarkStart w:id="10" w:name="_Toc135215608"/>
      <w:r w:rsidRPr="006462AA">
        <w:lastRenderedPageBreak/>
        <w:t xml:space="preserve">Appendix A: </w:t>
      </w:r>
      <w:r w:rsidR="00321064" w:rsidRPr="006462AA">
        <w:t>Managers</w:t>
      </w:r>
      <w:r w:rsidR="00D377F8" w:rsidRPr="006462AA">
        <w:t>’</w:t>
      </w:r>
      <w:r w:rsidR="00321064" w:rsidRPr="006462AA">
        <w:t xml:space="preserve"> Guidance on Whistleblowing</w:t>
      </w:r>
      <w:bookmarkEnd w:id="10"/>
    </w:p>
    <w:p w14:paraId="6AC492BF" w14:textId="03EC8422" w:rsidR="00321064" w:rsidRPr="00061ADD" w:rsidRDefault="00321064" w:rsidP="00AC219A"/>
    <w:p w14:paraId="123E9AFB" w14:textId="533A285B" w:rsidR="00321064" w:rsidRPr="007F3E09" w:rsidRDefault="00321064" w:rsidP="007F3E09">
      <w:pPr>
        <w:pStyle w:val="Heading2"/>
        <w:numPr>
          <w:ilvl w:val="0"/>
          <w:numId w:val="42"/>
        </w:numPr>
        <w:rPr>
          <w:rFonts w:ascii="Arial" w:eastAsia="Times New Roman" w:hAnsi="Arial" w:cs="Arial"/>
          <w:sz w:val="40"/>
          <w:szCs w:val="40"/>
          <w:lang w:eastAsia="en-GB"/>
        </w:rPr>
      </w:pPr>
      <w:bookmarkStart w:id="11" w:name="_Toc135215609"/>
      <w:r w:rsidRPr="007F3E09">
        <w:rPr>
          <w:rFonts w:ascii="Arial" w:eastAsia="Times New Roman" w:hAnsi="Arial" w:cs="Arial"/>
          <w:sz w:val="40"/>
          <w:szCs w:val="40"/>
          <w:lang w:eastAsia="en-GB"/>
        </w:rPr>
        <w:t>Introduction</w:t>
      </w:r>
      <w:bookmarkEnd w:id="11"/>
      <w:r w:rsidRPr="007F3E09">
        <w:rPr>
          <w:rFonts w:ascii="Arial" w:eastAsia="Times New Roman" w:hAnsi="Arial" w:cs="Arial"/>
          <w:sz w:val="40"/>
          <w:szCs w:val="40"/>
          <w:lang w:eastAsia="en-GB"/>
        </w:rPr>
        <w:t xml:space="preserve"> </w:t>
      </w:r>
    </w:p>
    <w:p w14:paraId="06CC50C0" w14:textId="77777777" w:rsidR="00321064" w:rsidRPr="00061ADD" w:rsidRDefault="00321064" w:rsidP="00321064">
      <w:pPr>
        <w:spacing w:after="0" w:line="259" w:lineRule="auto"/>
      </w:pPr>
      <w:r w:rsidRPr="00061ADD">
        <w:t xml:space="preserve"> </w:t>
      </w:r>
    </w:p>
    <w:p w14:paraId="7C66917C" w14:textId="1B4A9601" w:rsidR="009E6D35" w:rsidRPr="006462AA" w:rsidRDefault="008C5511" w:rsidP="009E6D35">
      <w:pPr>
        <w:pStyle w:val="ListParagraph"/>
        <w:numPr>
          <w:ilvl w:val="1"/>
          <w:numId w:val="20"/>
        </w:numPr>
        <w:rPr>
          <w:sz w:val="24"/>
          <w:szCs w:val="24"/>
          <w:lang w:eastAsia="en-GB"/>
        </w:rPr>
      </w:pPr>
      <w:r w:rsidRPr="006462AA">
        <w:rPr>
          <w:sz w:val="24"/>
          <w:szCs w:val="24"/>
          <w:lang w:eastAsia="en-GB"/>
        </w:rPr>
        <w:t>T</w:t>
      </w:r>
      <w:r w:rsidR="00321064" w:rsidRPr="006462AA">
        <w:rPr>
          <w:sz w:val="24"/>
          <w:szCs w:val="24"/>
          <w:lang w:eastAsia="en-GB"/>
        </w:rPr>
        <w:t xml:space="preserve">he </w:t>
      </w:r>
      <w:r w:rsidR="00AC219A" w:rsidRPr="006462AA">
        <w:rPr>
          <w:sz w:val="24"/>
          <w:szCs w:val="24"/>
          <w:lang w:eastAsia="en-GB"/>
        </w:rPr>
        <w:t>Ironstone Academy Trust’s</w:t>
      </w:r>
      <w:r w:rsidR="00321064" w:rsidRPr="006462AA">
        <w:rPr>
          <w:sz w:val="24"/>
          <w:szCs w:val="24"/>
          <w:lang w:eastAsia="en-GB"/>
        </w:rPr>
        <w:t xml:space="preserve"> whistleblowing policy is designed to encourage and support employees and contractors in expressing their concerns about the workplace. </w:t>
      </w:r>
    </w:p>
    <w:p w14:paraId="39B86935" w14:textId="77777777" w:rsidR="009E6D35" w:rsidRPr="006462AA" w:rsidRDefault="009E6D35" w:rsidP="009E6D35">
      <w:pPr>
        <w:pStyle w:val="ListParagraph"/>
        <w:rPr>
          <w:sz w:val="24"/>
          <w:szCs w:val="24"/>
          <w:lang w:eastAsia="en-GB"/>
        </w:rPr>
      </w:pPr>
    </w:p>
    <w:p w14:paraId="3BA6E30B" w14:textId="0AF05488" w:rsidR="00321064" w:rsidRPr="006462AA" w:rsidRDefault="00321064" w:rsidP="00313557">
      <w:pPr>
        <w:pStyle w:val="ListParagraph"/>
        <w:numPr>
          <w:ilvl w:val="1"/>
          <w:numId w:val="20"/>
        </w:numPr>
        <w:rPr>
          <w:sz w:val="24"/>
          <w:szCs w:val="24"/>
          <w:lang w:eastAsia="en-GB"/>
        </w:rPr>
      </w:pPr>
      <w:r w:rsidRPr="006462AA">
        <w:rPr>
          <w:sz w:val="24"/>
          <w:szCs w:val="24"/>
          <w:lang w:eastAsia="en-GB"/>
        </w:rPr>
        <w:t xml:space="preserve">All </w:t>
      </w:r>
      <w:r w:rsidR="00B8286B" w:rsidRPr="006462AA">
        <w:rPr>
          <w:sz w:val="24"/>
          <w:szCs w:val="24"/>
          <w:lang w:eastAsia="en-GB"/>
        </w:rPr>
        <w:t>Ironstone Academy Trust</w:t>
      </w:r>
      <w:r w:rsidRPr="006462AA">
        <w:rPr>
          <w:sz w:val="24"/>
          <w:szCs w:val="24"/>
          <w:lang w:eastAsia="en-GB"/>
        </w:rPr>
        <w:t xml:space="preserve"> employees in managerial or supervisory positions are expected to take employee concerns seriously and follow the process set out in this guidance. </w:t>
      </w:r>
    </w:p>
    <w:p w14:paraId="0C60E9E0" w14:textId="5E22C597" w:rsidR="00321064" w:rsidRPr="006462AA" w:rsidRDefault="009E6D35" w:rsidP="007F3E09">
      <w:pPr>
        <w:pStyle w:val="Heading2"/>
        <w:rPr>
          <w:rFonts w:ascii="Arial" w:hAnsi="Arial" w:cs="Arial"/>
          <w:sz w:val="40"/>
          <w:szCs w:val="40"/>
        </w:rPr>
      </w:pPr>
      <w:bookmarkStart w:id="12" w:name="_Toc135215610"/>
      <w:r w:rsidRPr="006462AA">
        <w:rPr>
          <w:rFonts w:ascii="Arial" w:hAnsi="Arial" w:cs="Arial"/>
          <w:sz w:val="40"/>
          <w:szCs w:val="40"/>
        </w:rPr>
        <w:t>W</w:t>
      </w:r>
      <w:r w:rsidR="00321064" w:rsidRPr="006462AA">
        <w:rPr>
          <w:rFonts w:ascii="Arial" w:hAnsi="Arial" w:cs="Arial"/>
          <w:sz w:val="40"/>
          <w:szCs w:val="40"/>
        </w:rPr>
        <w:t>hat is a whistleblowing complaint?</w:t>
      </w:r>
      <w:bookmarkEnd w:id="12"/>
      <w:r w:rsidR="00321064" w:rsidRPr="006462AA">
        <w:rPr>
          <w:rFonts w:ascii="Arial" w:hAnsi="Arial" w:cs="Arial"/>
          <w:sz w:val="40"/>
          <w:szCs w:val="40"/>
        </w:rPr>
        <w:t xml:space="preserve"> </w:t>
      </w:r>
    </w:p>
    <w:p w14:paraId="7CF8F7C9" w14:textId="77777777" w:rsidR="00321064" w:rsidRPr="00061ADD" w:rsidRDefault="00321064" w:rsidP="00321064">
      <w:pPr>
        <w:spacing w:after="0" w:line="259" w:lineRule="auto"/>
      </w:pPr>
      <w:r w:rsidRPr="00061ADD">
        <w:t xml:space="preserve"> </w:t>
      </w:r>
    </w:p>
    <w:p w14:paraId="7646C9CF" w14:textId="7E6E429C" w:rsidR="00321064" w:rsidRPr="006462AA" w:rsidRDefault="00321064" w:rsidP="009E6D35">
      <w:pPr>
        <w:pStyle w:val="ListParagraph"/>
        <w:numPr>
          <w:ilvl w:val="1"/>
          <w:numId w:val="20"/>
        </w:numPr>
        <w:rPr>
          <w:sz w:val="24"/>
          <w:szCs w:val="24"/>
          <w:lang w:eastAsia="en-GB"/>
        </w:rPr>
      </w:pPr>
      <w:r w:rsidRPr="006462AA">
        <w:rPr>
          <w:sz w:val="24"/>
          <w:szCs w:val="24"/>
          <w:lang w:eastAsia="en-GB"/>
        </w:rPr>
        <w:t>Any concern about working practices or malpractice that is reported in confidence should be considered under the whistleblowing policy.  It is not necessary for a member of staff or contractor to use the term “whistleblowing” in</w:t>
      </w:r>
      <w:r w:rsidR="00EB62F7" w:rsidRPr="006462AA">
        <w:rPr>
          <w:sz w:val="24"/>
          <w:szCs w:val="24"/>
          <w:lang w:eastAsia="en-GB"/>
        </w:rPr>
        <w:t>-</w:t>
      </w:r>
      <w:r w:rsidRPr="006462AA">
        <w:rPr>
          <w:sz w:val="24"/>
          <w:szCs w:val="24"/>
          <w:lang w:eastAsia="en-GB"/>
        </w:rPr>
        <w:t>order</w:t>
      </w:r>
      <w:r w:rsidR="00EB62F7" w:rsidRPr="006462AA">
        <w:rPr>
          <w:sz w:val="24"/>
          <w:szCs w:val="24"/>
          <w:lang w:eastAsia="en-GB"/>
        </w:rPr>
        <w:t>-</w:t>
      </w:r>
      <w:r w:rsidRPr="006462AA">
        <w:rPr>
          <w:sz w:val="24"/>
          <w:szCs w:val="24"/>
          <w:lang w:eastAsia="en-GB"/>
        </w:rPr>
        <w:t xml:space="preserve">for a report to be considered under the policy. </w:t>
      </w:r>
    </w:p>
    <w:p w14:paraId="14B90AB4" w14:textId="77777777" w:rsidR="00321064" w:rsidRPr="006462AA" w:rsidRDefault="00321064" w:rsidP="009E6D35">
      <w:pPr>
        <w:pStyle w:val="ListParagraph"/>
        <w:rPr>
          <w:sz w:val="24"/>
          <w:szCs w:val="24"/>
          <w:lang w:eastAsia="en-GB"/>
        </w:rPr>
      </w:pPr>
      <w:r w:rsidRPr="006462AA">
        <w:rPr>
          <w:sz w:val="24"/>
          <w:szCs w:val="24"/>
          <w:lang w:eastAsia="en-GB"/>
        </w:rPr>
        <w:t xml:space="preserve"> </w:t>
      </w:r>
    </w:p>
    <w:p w14:paraId="19DC62A6" w14:textId="6A9D5376" w:rsidR="00321064" w:rsidRPr="006462AA" w:rsidRDefault="00321064" w:rsidP="009E6D35">
      <w:pPr>
        <w:pStyle w:val="ListParagraph"/>
        <w:numPr>
          <w:ilvl w:val="1"/>
          <w:numId w:val="20"/>
        </w:numPr>
        <w:rPr>
          <w:sz w:val="24"/>
          <w:szCs w:val="24"/>
          <w:lang w:eastAsia="en-GB"/>
        </w:rPr>
      </w:pPr>
      <w:r w:rsidRPr="006462AA">
        <w:rPr>
          <w:sz w:val="24"/>
          <w:szCs w:val="24"/>
          <w:lang w:eastAsia="en-GB"/>
        </w:rPr>
        <w:t xml:space="preserve">Whistleblowing relates to concern for others rather than oneself.  If a member of staff is reporting that they solely have been mistreated, then this should be considered under other </w:t>
      </w:r>
      <w:r w:rsidR="00B8286B" w:rsidRPr="006462AA">
        <w:rPr>
          <w:sz w:val="24"/>
          <w:szCs w:val="24"/>
          <w:lang w:eastAsia="en-GB"/>
        </w:rPr>
        <w:t>Ironstone Academy Trust</w:t>
      </w:r>
      <w:r w:rsidRPr="006462AA">
        <w:rPr>
          <w:sz w:val="24"/>
          <w:szCs w:val="24"/>
          <w:lang w:eastAsia="en-GB"/>
        </w:rPr>
        <w:t xml:space="preserve"> policies, </w:t>
      </w:r>
      <w:proofErr w:type="gramStart"/>
      <w:r w:rsidRPr="006462AA">
        <w:rPr>
          <w:sz w:val="24"/>
          <w:szCs w:val="24"/>
          <w:lang w:eastAsia="en-GB"/>
        </w:rPr>
        <w:t>e.g.</w:t>
      </w:r>
      <w:proofErr w:type="gramEnd"/>
      <w:r w:rsidRPr="006462AA">
        <w:rPr>
          <w:sz w:val="24"/>
          <w:szCs w:val="24"/>
          <w:lang w:eastAsia="en-GB"/>
        </w:rPr>
        <w:t xml:space="preserve"> Resolving Issues </w:t>
      </w:r>
      <w:r w:rsidR="007F3E09" w:rsidRPr="006462AA">
        <w:rPr>
          <w:sz w:val="24"/>
          <w:szCs w:val="24"/>
          <w:lang w:eastAsia="en-GB"/>
        </w:rPr>
        <w:t>at</w:t>
      </w:r>
      <w:r w:rsidRPr="006462AA">
        <w:rPr>
          <w:sz w:val="24"/>
          <w:szCs w:val="24"/>
          <w:lang w:eastAsia="en-GB"/>
        </w:rPr>
        <w:t xml:space="preserve"> Work. </w:t>
      </w:r>
    </w:p>
    <w:p w14:paraId="36C14A2E" w14:textId="77777777" w:rsidR="00321064" w:rsidRPr="006462AA" w:rsidRDefault="00321064" w:rsidP="009E6D35">
      <w:pPr>
        <w:pStyle w:val="ListParagraph"/>
        <w:rPr>
          <w:sz w:val="24"/>
          <w:szCs w:val="24"/>
          <w:lang w:eastAsia="en-GB"/>
        </w:rPr>
      </w:pPr>
      <w:r w:rsidRPr="006462AA">
        <w:rPr>
          <w:sz w:val="24"/>
          <w:szCs w:val="24"/>
          <w:lang w:eastAsia="en-GB"/>
        </w:rPr>
        <w:t xml:space="preserve"> </w:t>
      </w:r>
    </w:p>
    <w:p w14:paraId="30479251" w14:textId="19250D3A" w:rsidR="00321064" w:rsidRPr="006462AA" w:rsidRDefault="00321064" w:rsidP="009E6D35">
      <w:pPr>
        <w:pStyle w:val="ListParagraph"/>
        <w:numPr>
          <w:ilvl w:val="1"/>
          <w:numId w:val="20"/>
        </w:numPr>
        <w:rPr>
          <w:sz w:val="24"/>
          <w:szCs w:val="24"/>
          <w:lang w:eastAsia="en-GB"/>
        </w:rPr>
      </w:pPr>
      <w:r w:rsidRPr="006462AA">
        <w:rPr>
          <w:sz w:val="24"/>
          <w:szCs w:val="24"/>
          <w:lang w:eastAsia="en-GB"/>
        </w:rPr>
        <w:t xml:space="preserve">Whistleblowing reports must come from </w:t>
      </w:r>
      <w:r w:rsidR="00B8286B" w:rsidRPr="006462AA">
        <w:rPr>
          <w:sz w:val="24"/>
          <w:szCs w:val="24"/>
          <w:lang w:eastAsia="en-GB"/>
        </w:rPr>
        <w:t>Ironstone Academy Trust</w:t>
      </w:r>
      <w:r w:rsidRPr="006462AA">
        <w:rPr>
          <w:sz w:val="24"/>
          <w:szCs w:val="24"/>
          <w:lang w:eastAsia="en-GB"/>
        </w:rPr>
        <w:t xml:space="preserve"> workers (including temporary members of staff and contractors).  Reports from members of the public are not considered to be whistleblowing and should be directed to the </w:t>
      </w:r>
      <w:r w:rsidR="007F3E09" w:rsidRPr="006462AA">
        <w:rPr>
          <w:sz w:val="24"/>
          <w:szCs w:val="24"/>
          <w:lang w:eastAsia="en-GB"/>
        </w:rPr>
        <w:t>School’s Complaints</w:t>
      </w:r>
      <w:r w:rsidRPr="006462AA">
        <w:rPr>
          <w:sz w:val="24"/>
          <w:szCs w:val="24"/>
          <w:lang w:eastAsia="en-GB"/>
        </w:rPr>
        <w:t xml:space="preserve"> policy</w:t>
      </w:r>
      <w:r w:rsidR="00EB62F7" w:rsidRPr="006462AA">
        <w:rPr>
          <w:sz w:val="24"/>
          <w:szCs w:val="24"/>
          <w:lang w:eastAsia="en-GB"/>
        </w:rPr>
        <w:t xml:space="preserve"> </w:t>
      </w:r>
      <w:r w:rsidRPr="006462AA">
        <w:rPr>
          <w:sz w:val="24"/>
          <w:szCs w:val="24"/>
          <w:lang w:eastAsia="en-GB"/>
        </w:rPr>
        <w:t xml:space="preserve">or the counter fraud hotline, whichever is most relevant. </w:t>
      </w:r>
    </w:p>
    <w:p w14:paraId="44C4EB77" w14:textId="77777777" w:rsidR="00321064" w:rsidRPr="006462AA" w:rsidRDefault="00321064" w:rsidP="009E6D35">
      <w:pPr>
        <w:pStyle w:val="ListParagraph"/>
        <w:rPr>
          <w:sz w:val="24"/>
          <w:szCs w:val="24"/>
          <w:lang w:eastAsia="en-GB"/>
        </w:rPr>
      </w:pPr>
      <w:r w:rsidRPr="006462AA">
        <w:rPr>
          <w:sz w:val="24"/>
          <w:szCs w:val="24"/>
          <w:lang w:eastAsia="en-GB"/>
        </w:rPr>
        <w:t xml:space="preserve"> </w:t>
      </w:r>
    </w:p>
    <w:p w14:paraId="518A1D5B" w14:textId="22E1D0DF" w:rsidR="00321064" w:rsidRPr="006462AA" w:rsidRDefault="00321064" w:rsidP="009E6D35">
      <w:pPr>
        <w:pStyle w:val="ListParagraph"/>
        <w:numPr>
          <w:ilvl w:val="1"/>
          <w:numId w:val="20"/>
        </w:numPr>
        <w:rPr>
          <w:sz w:val="24"/>
          <w:szCs w:val="24"/>
          <w:lang w:eastAsia="en-GB"/>
        </w:rPr>
      </w:pPr>
      <w:r w:rsidRPr="006462AA">
        <w:rPr>
          <w:sz w:val="24"/>
          <w:szCs w:val="24"/>
          <w:lang w:eastAsia="en-GB"/>
        </w:rPr>
        <w:t>Whistleblowing reports are often made anonymously.  However, where possible (</w:t>
      </w:r>
      <w:proofErr w:type="gramStart"/>
      <w:r w:rsidRPr="006462AA">
        <w:rPr>
          <w:sz w:val="24"/>
          <w:szCs w:val="24"/>
          <w:lang w:eastAsia="en-GB"/>
        </w:rPr>
        <w:t>e.g.</w:t>
      </w:r>
      <w:proofErr w:type="gramEnd"/>
      <w:r w:rsidRPr="006462AA">
        <w:rPr>
          <w:sz w:val="24"/>
          <w:szCs w:val="24"/>
          <w:lang w:eastAsia="en-GB"/>
        </w:rPr>
        <w:t xml:space="preserve"> where reports are taken over the phone or by email) the person making it should be informed that reporting concerns in this way may make it more difficult to follow up (see section 3.5 of the whistleblowing policy). </w:t>
      </w:r>
    </w:p>
    <w:p w14:paraId="3A94FFD4" w14:textId="77777777" w:rsidR="00321064" w:rsidRPr="006462AA" w:rsidRDefault="00321064" w:rsidP="009E6D35">
      <w:pPr>
        <w:pStyle w:val="ListParagraph"/>
        <w:rPr>
          <w:sz w:val="24"/>
          <w:szCs w:val="24"/>
          <w:lang w:eastAsia="en-GB"/>
        </w:rPr>
      </w:pPr>
      <w:r w:rsidRPr="006462AA">
        <w:rPr>
          <w:sz w:val="24"/>
          <w:szCs w:val="24"/>
          <w:lang w:eastAsia="en-GB"/>
        </w:rPr>
        <w:t xml:space="preserve"> </w:t>
      </w:r>
    </w:p>
    <w:p w14:paraId="012744B5" w14:textId="221D8990" w:rsidR="00321064" w:rsidRPr="006462AA" w:rsidRDefault="00321064" w:rsidP="009E6D35">
      <w:pPr>
        <w:pStyle w:val="ListParagraph"/>
        <w:numPr>
          <w:ilvl w:val="1"/>
          <w:numId w:val="20"/>
        </w:numPr>
        <w:rPr>
          <w:sz w:val="24"/>
          <w:szCs w:val="24"/>
          <w:lang w:eastAsia="en-GB"/>
        </w:rPr>
      </w:pPr>
      <w:r w:rsidRPr="006462AA">
        <w:rPr>
          <w:sz w:val="24"/>
          <w:szCs w:val="24"/>
          <w:lang w:eastAsia="en-GB"/>
        </w:rPr>
        <w:t xml:space="preserve">Any report that falls within the categories set out by legislation (see section 2.4 of the whistleblowing policy) afford the whistleblower protection under law.  It is important to make this determination at an early stage in order to ensure that the whistleblower is given correct advice and the </w:t>
      </w:r>
      <w:r w:rsidR="00B8286B" w:rsidRPr="006462AA">
        <w:rPr>
          <w:sz w:val="24"/>
          <w:szCs w:val="24"/>
          <w:lang w:eastAsia="en-GB"/>
        </w:rPr>
        <w:t>Ironstone Academy Trust</w:t>
      </w:r>
      <w:r w:rsidRPr="006462AA">
        <w:rPr>
          <w:sz w:val="24"/>
          <w:szCs w:val="24"/>
          <w:lang w:eastAsia="en-GB"/>
        </w:rPr>
        <w:t xml:space="preserve"> acts in accordance with legislation. </w:t>
      </w:r>
    </w:p>
    <w:p w14:paraId="1039900D" w14:textId="01ACA9BD" w:rsidR="00321064" w:rsidRPr="006462AA" w:rsidRDefault="00321064" w:rsidP="00F50CB6">
      <w:pPr>
        <w:pStyle w:val="ListParagraph"/>
        <w:rPr>
          <w:sz w:val="24"/>
          <w:szCs w:val="24"/>
          <w:lang w:eastAsia="en-GB"/>
        </w:rPr>
      </w:pPr>
      <w:r w:rsidRPr="006462AA">
        <w:rPr>
          <w:sz w:val="24"/>
          <w:szCs w:val="24"/>
          <w:lang w:eastAsia="en-GB"/>
        </w:rPr>
        <w:t xml:space="preserve"> </w:t>
      </w:r>
    </w:p>
    <w:p w14:paraId="482E03F8" w14:textId="40A537DC" w:rsidR="00321064" w:rsidRPr="006462AA" w:rsidRDefault="00321064" w:rsidP="00313557">
      <w:pPr>
        <w:pStyle w:val="ListParagraph"/>
        <w:numPr>
          <w:ilvl w:val="1"/>
          <w:numId w:val="20"/>
        </w:numPr>
        <w:rPr>
          <w:sz w:val="24"/>
          <w:szCs w:val="24"/>
          <w:lang w:eastAsia="en-GB"/>
        </w:rPr>
      </w:pPr>
      <w:r w:rsidRPr="1FAE0BA4">
        <w:rPr>
          <w:sz w:val="24"/>
          <w:szCs w:val="24"/>
          <w:lang w:eastAsia="en-GB"/>
        </w:rPr>
        <w:t xml:space="preserve">If, after consulting the whistleblowing policy, there is a doubt as to whether a report constitutes whistleblowing then advice should be sought from </w:t>
      </w:r>
      <w:proofErr w:type="spellStart"/>
      <w:r w:rsidRPr="1FAE0BA4">
        <w:rPr>
          <w:sz w:val="24"/>
          <w:szCs w:val="24"/>
          <w:lang w:eastAsia="en-GB"/>
        </w:rPr>
        <w:t>Veritau</w:t>
      </w:r>
      <w:proofErr w:type="spellEnd"/>
      <w:r w:rsidRPr="1FAE0BA4">
        <w:rPr>
          <w:sz w:val="24"/>
          <w:szCs w:val="24"/>
          <w:lang w:eastAsia="en-GB"/>
        </w:rPr>
        <w:t xml:space="preserve"> in order to reach a conclusion. </w:t>
      </w:r>
    </w:p>
    <w:p w14:paraId="188097B4" w14:textId="092DABE2" w:rsidR="1FAE0BA4" w:rsidRDefault="1FAE0BA4" w:rsidP="1FAE0BA4">
      <w:pPr>
        <w:pStyle w:val="Heading2"/>
        <w:numPr>
          <w:ilvl w:val="0"/>
          <w:numId w:val="0"/>
        </w:numPr>
      </w:pPr>
    </w:p>
    <w:p w14:paraId="5D6DCDCF" w14:textId="59F410D5" w:rsidR="1FAE0BA4" w:rsidRDefault="1FAE0BA4" w:rsidP="1FAE0BA4"/>
    <w:p w14:paraId="6E7B5F9E" w14:textId="3DCE8971" w:rsidR="009E6D35" w:rsidRPr="006462AA" w:rsidRDefault="00321064" w:rsidP="009E6D35">
      <w:pPr>
        <w:pStyle w:val="Heading2"/>
        <w:rPr>
          <w:rFonts w:ascii="Arial" w:hAnsi="Arial" w:cs="Arial"/>
          <w:sz w:val="40"/>
          <w:szCs w:val="40"/>
        </w:rPr>
      </w:pPr>
      <w:bookmarkStart w:id="13" w:name="_Toc135215611"/>
      <w:r w:rsidRPr="006462AA">
        <w:rPr>
          <w:rFonts w:ascii="Arial" w:hAnsi="Arial" w:cs="Arial"/>
          <w:sz w:val="40"/>
          <w:szCs w:val="40"/>
        </w:rPr>
        <w:t>Reporting receipt of a whistleblowing concern</w:t>
      </w:r>
      <w:bookmarkEnd w:id="13"/>
      <w:r w:rsidRPr="006462AA">
        <w:rPr>
          <w:rFonts w:ascii="Arial" w:hAnsi="Arial" w:cs="Arial"/>
          <w:sz w:val="40"/>
          <w:szCs w:val="40"/>
        </w:rPr>
        <w:t xml:space="preserve"> </w:t>
      </w:r>
    </w:p>
    <w:p w14:paraId="377B7910" w14:textId="77777777" w:rsidR="00053AD3" w:rsidRPr="006462AA" w:rsidRDefault="00053AD3" w:rsidP="00053AD3">
      <w:pPr>
        <w:rPr>
          <w:sz w:val="24"/>
          <w:szCs w:val="24"/>
        </w:rPr>
      </w:pPr>
    </w:p>
    <w:p w14:paraId="4E97B759" w14:textId="75483738" w:rsidR="00321064" w:rsidRPr="006462AA" w:rsidRDefault="00321064" w:rsidP="00FC2DEA">
      <w:pPr>
        <w:pStyle w:val="ListParagraph"/>
        <w:numPr>
          <w:ilvl w:val="1"/>
          <w:numId w:val="20"/>
        </w:numPr>
        <w:rPr>
          <w:sz w:val="24"/>
          <w:szCs w:val="24"/>
        </w:rPr>
      </w:pPr>
      <w:r w:rsidRPr="006462AA">
        <w:rPr>
          <w:sz w:val="24"/>
          <w:szCs w:val="24"/>
          <w:lang w:eastAsia="en-GB"/>
        </w:rPr>
        <w:t xml:space="preserve">All whistleblowing reports should immediately be reported to three parties: </w:t>
      </w:r>
    </w:p>
    <w:p w14:paraId="15F0B42B" w14:textId="0DB88EA9" w:rsidR="00321064" w:rsidRPr="006462AA" w:rsidRDefault="00321064" w:rsidP="009E6D35">
      <w:pPr>
        <w:pStyle w:val="ListParagraph"/>
        <w:numPr>
          <w:ilvl w:val="0"/>
          <w:numId w:val="25"/>
        </w:numPr>
        <w:rPr>
          <w:sz w:val="24"/>
          <w:szCs w:val="24"/>
        </w:rPr>
      </w:pPr>
      <w:r w:rsidRPr="006462AA">
        <w:rPr>
          <w:sz w:val="24"/>
          <w:szCs w:val="24"/>
        </w:rPr>
        <w:t xml:space="preserve">Chair of Governors in the case of a school. </w:t>
      </w:r>
    </w:p>
    <w:p w14:paraId="4E3C9E27" w14:textId="47C93294" w:rsidR="00321064" w:rsidRPr="006462AA" w:rsidRDefault="007F3E09" w:rsidP="009E6D35">
      <w:pPr>
        <w:pStyle w:val="ListParagraph"/>
        <w:numPr>
          <w:ilvl w:val="0"/>
          <w:numId w:val="25"/>
        </w:numPr>
        <w:rPr>
          <w:sz w:val="24"/>
          <w:szCs w:val="24"/>
        </w:rPr>
      </w:pPr>
      <w:r w:rsidRPr="006462AA">
        <w:rPr>
          <w:sz w:val="24"/>
          <w:szCs w:val="24"/>
        </w:rPr>
        <w:t>HR Business</w:t>
      </w:r>
      <w:r w:rsidR="00321064" w:rsidRPr="006462AA">
        <w:rPr>
          <w:sz w:val="24"/>
          <w:szCs w:val="24"/>
        </w:rPr>
        <w:t xml:space="preserve"> Partner responsible for school; </w:t>
      </w:r>
    </w:p>
    <w:p w14:paraId="068C116B" w14:textId="7E438B79" w:rsidR="00321064" w:rsidRPr="006462AA" w:rsidRDefault="00B82A2C" w:rsidP="009E6D35">
      <w:pPr>
        <w:pStyle w:val="ListParagraph"/>
        <w:numPr>
          <w:ilvl w:val="0"/>
          <w:numId w:val="25"/>
        </w:numPr>
        <w:rPr>
          <w:sz w:val="24"/>
          <w:szCs w:val="24"/>
        </w:rPr>
      </w:pPr>
      <w:r w:rsidRPr="006462AA">
        <w:rPr>
          <w:sz w:val="24"/>
          <w:szCs w:val="24"/>
        </w:rPr>
        <w:t>C</w:t>
      </w:r>
      <w:r w:rsidR="00B76129" w:rsidRPr="006462AA">
        <w:rPr>
          <w:sz w:val="24"/>
          <w:szCs w:val="24"/>
        </w:rPr>
        <w:t>FOO, DCEO</w:t>
      </w:r>
    </w:p>
    <w:p w14:paraId="1FFC015A" w14:textId="77777777" w:rsidR="00FC2DEA" w:rsidRPr="006462AA" w:rsidRDefault="00FC2DEA" w:rsidP="00FC2DEA">
      <w:pPr>
        <w:pStyle w:val="ListParagraph"/>
        <w:rPr>
          <w:sz w:val="24"/>
          <w:szCs w:val="24"/>
        </w:rPr>
      </w:pPr>
    </w:p>
    <w:p w14:paraId="72D67A10" w14:textId="0C89EAE9" w:rsidR="00321064" w:rsidRPr="006462AA" w:rsidRDefault="00321064" w:rsidP="00FC2DEA">
      <w:pPr>
        <w:pStyle w:val="ListParagraph"/>
        <w:numPr>
          <w:ilvl w:val="1"/>
          <w:numId w:val="20"/>
        </w:numPr>
        <w:rPr>
          <w:sz w:val="24"/>
          <w:szCs w:val="24"/>
          <w:lang w:eastAsia="en-GB"/>
        </w:rPr>
      </w:pPr>
      <w:r w:rsidRPr="006462AA">
        <w:rPr>
          <w:sz w:val="24"/>
          <w:szCs w:val="24"/>
          <w:lang w:eastAsia="en-GB"/>
        </w:rPr>
        <w:lastRenderedPageBreak/>
        <w:t>If the report involves any of the people or groups named above then the report should be escalated to a more senior officer,</w:t>
      </w:r>
      <w:r w:rsidR="00B45B9A" w:rsidRPr="006462AA">
        <w:rPr>
          <w:sz w:val="24"/>
          <w:szCs w:val="24"/>
          <w:lang w:eastAsia="en-GB"/>
        </w:rPr>
        <w:t xml:space="preserve"> </w:t>
      </w:r>
      <w:r w:rsidR="00B76129" w:rsidRPr="006462AA">
        <w:rPr>
          <w:sz w:val="24"/>
          <w:szCs w:val="24"/>
          <w:lang w:eastAsia="en-GB"/>
        </w:rPr>
        <w:t>CEO</w:t>
      </w:r>
      <w:r w:rsidR="00AB3465" w:rsidRPr="006462AA">
        <w:rPr>
          <w:sz w:val="24"/>
          <w:szCs w:val="24"/>
          <w:lang w:eastAsia="en-GB"/>
        </w:rPr>
        <w:t>, or Chair of Trustees</w:t>
      </w:r>
    </w:p>
    <w:p w14:paraId="2915B1CC" w14:textId="36CF5929" w:rsidR="00321064" w:rsidRPr="006462AA" w:rsidRDefault="00321064" w:rsidP="00FC2DEA">
      <w:pPr>
        <w:pStyle w:val="ListParagraph"/>
        <w:rPr>
          <w:sz w:val="24"/>
          <w:szCs w:val="24"/>
          <w:lang w:eastAsia="en-GB"/>
        </w:rPr>
      </w:pPr>
    </w:p>
    <w:p w14:paraId="4052ADDC" w14:textId="134F2052" w:rsidR="00321064" w:rsidRPr="006462AA" w:rsidRDefault="00AB3465" w:rsidP="00FC2DEA">
      <w:pPr>
        <w:pStyle w:val="ListParagraph"/>
        <w:numPr>
          <w:ilvl w:val="1"/>
          <w:numId w:val="20"/>
        </w:numPr>
        <w:rPr>
          <w:sz w:val="24"/>
          <w:szCs w:val="24"/>
          <w:lang w:eastAsia="en-GB"/>
        </w:rPr>
      </w:pPr>
      <w:r w:rsidRPr="006462AA">
        <w:rPr>
          <w:sz w:val="24"/>
          <w:szCs w:val="24"/>
          <w:lang w:eastAsia="en-GB"/>
        </w:rPr>
        <w:t>CFOO</w:t>
      </w:r>
      <w:r w:rsidR="00321064" w:rsidRPr="006462AA">
        <w:rPr>
          <w:sz w:val="24"/>
          <w:szCs w:val="24"/>
          <w:lang w:eastAsia="en-GB"/>
        </w:rPr>
        <w:t xml:space="preserve"> maintains the council’s central log of all whistleblowing reports.  They should be updated at the beginning and the end of any whistleblowing investigation in order to keep a complete record of the report and how it was dealt with. Where managers receive details of whistleblowing concerns raised with external bodies (the prescribed persons and organisations set out at 6.1 in the policy), details should also be forwarded to </w:t>
      </w:r>
      <w:r w:rsidR="0007244D" w:rsidRPr="006462AA">
        <w:rPr>
          <w:sz w:val="24"/>
          <w:szCs w:val="24"/>
          <w:lang w:eastAsia="en-GB"/>
        </w:rPr>
        <w:t>CFOO</w:t>
      </w:r>
      <w:r w:rsidR="00321064" w:rsidRPr="006462AA">
        <w:rPr>
          <w:sz w:val="24"/>
          <w:szCs w:val="24"/>
          <w:lang w:eastAsia="en-GB"/>
        </w:rPr>
        <w:t xml:space="preserve"> for recording in the central log.  </w:t>
      </w:r>
    </w:p>
    <w:p w14:paraId="3EE4A717" w14:textId="314EF911" w:rsidR="00321064" w:rsidRPr="006462AA" w:rsidRDefault="00321064" w:rsidP="00FC2DEA">
      <w:pPr>
        <w:pStyle w:val="ListParagraph"/>
        <w:rPr>
          <w:sz w:val="24"/>
          <w:szCs w:val="24"/>
          <w:lang w:eastAsia="en-GB"/>
        </w:rPr>
      </w:pPr>
    </w:p>
    <w:p w14:paraId="24735257" w14:textId="44E68BD4" w:rsidR="00321064" w:rsidRPr="006462AA" w:rsidRDefault="00321064" w:rsidP="00313557">
      <w:pPr>
        <w:pStyle w:val="ListParagraph"/>
        <w:numPr>
          <w:ilvl w:val="1"/>
          <w:numId w:val="20"/>
        </w:numPr>
        <w:rPr>
          <w:sz w:val="24"/>
          <w:szCs w:val="24"/>
          <w:lang w:eastAsia="en-GB"/>
        </w:rPr>
      </w:pPr>
      <w:r w:rsidRPr="1FAE0BA4">
        <w:rPr>
          <w:sz w:val="24"/>
          <w:szCs w:val="24"/>
          <w:lang w:eastAsia="en-GB"/>
        </w:rPr>
        <w:t xml:space="preserve">In some cases, the details of the initial report will be sufficient to determine that it will not fall under whistleblowing policy.  In this situation the member of staff making the report should be informed of the reasons why their concern is not covered and be signposted to an alternative route.  A record of this discussion should be </w:t>
      </w:r>
      <w:r w:rsidR="00EB62F7" w:rsidRPr="1FAE0BA4">
        <w:rPr>
          <w:sz w:val="24"/>
          <w:szCs w:val="24"/>
          <w:lang w:eastAsia="en-GB"/>
        </w:rPr>
        <w:t>kept,</w:t>
      </w:r>
      <w:r w:rsidRPr="1FAE0BA4">
        <w:rPr>
          <w:sz w:val="24"/>
          <w:szCs w:val="24"/>
          <w:lang w:eastAsia="en-GB"/>
        </w:rPr>
        <w:t xml:space="preserve"> and an outline of the matter should be sent to </w:t>
      </w:r>
      <w:proofErr w:type="spellStart"/>
      <w:r w:rsidRPr="1FAE0BA4">
        <w:rPr>
          <w:sz w:val="24"/>
          <w:szCs w:val="24"/>
          <w:lang w:eastAsia="en-GB"/>
        </w:rPr>
        <w:t>Veritau</w:t>
      </w:r>
      <w:proofErr w:type="spellEnd"/>
      <w:r w:rsidRPr="1FAE0BA4">
        <w:rPr>
          <w:sz w:val="24"/>
          <w:szCs w:val="24"/>
          <w:lang w:eastAsia="en-GB"/>
        </w:rPr>
        <w:t xml:space="preserve"> to be entered in the central log. </w:t>
      </w:r>
    </w:p>
    <w:p w14:paraId="7E0E99FA" w14:textId="26B79A92" w:rsidR="1FAE0BA4" w:rsidRDefault="1FAE0BA4" w:rsidP="1FAE0BA4">
      <w:pPr>
        <w:pStyle w:val="Heading2"/>
        <w:numPr>
          <w:ilvl w:val="0"/>
          <w:numId w:val="0"/>
        </w:numPr>
      </w:pPr>
    </w:p>
    <w:p w14:paraId="0E584A1D" w14:textId="2CBA1429" w:rsidR="1FAE0BA4" w:rsidRDefault="1FAE0BA4" w:rsidP="1FAE0BA4"/>
    <w:p w14:paraId="772A8F78" w14:textId="5C6F3725" w:rsidR="00321064" w:rsidRPr="006462AA" w:rsidRDefault="00321064" w:rsidP="009E6D35">
      <w:pPr>
        <w:pStyle w:val="Heading2"/>
        <w:rPr>
          <w:rFonts w:ascii="Arial" w:hAnsi="Arial" w:cs="Arial"/>
          <w:sz w:val="40"/>
          <w:szCs w:val="40"/>
        </w:rPr>
      </w:pPr>
      <w:bookmarkStart w:id="14" w:name="_Toc135215612"/>
      <w:r w:rsidRPr="006462AA">
        <w:rPr>
          <w:rFonts w:ascii="Arial" w:hAnsi="Arial" w:cs="Arial"/>
          <w:sz w:val="40"/>
          <w:szCs w:val="40"/>
        </w:rPr>
        <w:t>Taking a concern forward</w:t>
      </w:r>
      <w:bookmarkEnd w:id="14"/>
      <w:r w:rsidRPr="006462AA">
        <w:rPr>
          <w:rFonts w:ascii="Arial" w:hAnsi="Arial" w:cs="Arial"/>
          <w:sz w:val="40"/>
          <w:szCs w:val="40"/>
        </w:rPr>
        <w:t xml:space="preserve"> </w:t>
      </w:r>
    </w:p>
    <w:p w14:paraId="36CEF3D1" w14:textId="77777777" w:rsidR="00321064" w:rsidRPr="00061ADD" w:rsidRDefault="00321064" w:rsidP="00321064">
      <w:pPr>
        <w:spacing w:after="0" w:line="259" w:lineRule="auto"/>
      </w:pPr>
      <w:r w:rsidRPr="00061ADD">
        <w:t xml:space="preserve"> </w:t>
      </w:r>
    </w:p>
    <w:p w14:paraId="3C6C7144" w14:textId="0D362BF1" w:rsidR="00321064" w:rsidRPr="006462AA" w:rsidRDefault="00321064" w:rsidP="00FC2DEA">
      <w:pPr>
        <w:pStyle w:val="ListParagraph"/>
        <w:numPr>
          <w:ilvl w:val="1"/>
          <w:numId w:val="20"/>
        </w:numPr>
        <w:rPr>
          <w:sz w:val="24"/>
          <w:szCs w:val="24"/>
          <w:lang w:eastAsia="en-GB"/>
        </w:rPr>
      </w:pPr>
      <w:r w:rsidRPr="006462AA">
        <w:rPr>
          <w:sz w:val="24"/>
          <w:szCs w:val="24"/>
          <w:lang w:eastAsia="en-GB"/>
        </w:rPr>
        <w:t>The person who first receives the whistleblowing report (</w:t>
      </w:r>
      <w:proofErr w:type="gramStart"/>
      <w:r w:rsidRPr="006462AA">
        <w:rPr>
          <w:sz w:val="24"/>
          <w:szCs w:val="24"/>
          <w:lang w:eastAsia="en-GB"/>
        </w:rPr>
        <w:t>i.e.</w:t>
      </w:r>
      <w:proofErr w:type="gramEnd"/>
      <w:r w:rsidRPr="006462AA">
        <w:rPr>
          <w:sz w:val="24"/>
          <w:szCs w:val="24"/>
          <w:lang w:eastAsia="en-GB"/>
        </w:rPr>
        <w:t xml:space="preserve"> supervisor or manager) should acknowledge it immediately and arrange a meeting with the whistleblower as soon as possible (see section 5.2 of the whistleblowing policy) to gather additional information on the issues.  This meeting should flesh out the initial report and help determine how the issue should be investigated. </w:t>
      </w:r>
    </w:p>
    <w:p w14:paraId="27421D77" w14:textId="340C771A" w:rsidR="00321064" w:rsidRPr="006462AA" w:rsidRDefault="00321064" w:rsidP="00FC2DEA">
      <w:pPr>
        <w:pStyle w:val="ListParagraph"/>
        <w:rPr>
          <w:sz w:val="24"/>
          <w:szCs w:val="24"/>
          <w:lang w:eastAsia="en-GB"/>
        </w:rPr>
      </w:pPr>
    </w:p>
    <w:p w14:paraId="2E7116F4" w14:textId="5FBB4E1E"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This initial meeting can be done in person, in or outside </w:t>
      </w:r>
      <w:r w:rsidR="007F3E09" w:rsidRPr="006462AA">
        <w:rPr>
          <w:sz w:val="24"/>
          <w:szCs w:val="24"/>
          <w:lang w:eastAsia="en-GB"/>
        </w:rPr>
        <w:t>School,</w:t>
      </w:r>
      <w:r w:rsidRPr="006462AA">
        <w:rPr>
          <w:sz w:val="24"/>
          <w:szCs w:val="24"/>
          <w:lang w:eastAsia="en-GB"/>
        </w:rPr>
        <w:t xml:space="preserve"> or via telephone.  It is important to find an environment that the member of staff feels comfortable with.  They may be supported by a trade union representative or colleague.  A note taker can be brought to the meeting with prior agreement from the whistleblower. </w:t>
      </w:r>
    </w:p>
    <w:p w14:paraId="438A555F" w14:textId="5D41FCE8" w:rsidR="00321064" w:rsidRPr="006462AA" w:rsidRDefault="00321064" w:rsidP="00FC2DEA">
      <w:pPr>
        <w:pStyle w:val="ListParagraph"/>
        <w:rPr>
          <w:sz w:val="24"/>
          <w:szCs w:val="24"/>
          <w:lang w:eastAsia="en-GB"/>
        </w:rPr>
      </w:pPr>
    </w:p>
    <w:p w14:paraId="2CFA0956" w14:textId="53EF3EB7"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If anonymity is </w:t>
      </w:r>
      <w:r w:rsidR="00EB62F7" w:rsidRPr="006462AA">
        <w:rPr>
          <w:sz w:val="24"/>
          <w:szCs w:val="24"/>
          <w:lang w:eastAsia="en-GB"/>
        </w:rPr>
        <w:t>requested,</w:t>
      </w:r>
      <w:r w:rsidRPr="006462AA">
        <w:rPr>
          <w:sz w:val="24"/>
          <w:szCs w:val="24"/>
          <w:lang w:eastAsia="en-GB"/>
        </w:rPr>
        <w:t xml:space="preserve"> then every effort should be made to keep the whistleblower’s identity concealed.  Anonymity however cannot be guaranteed.  If there is a possibility due to the circumstances of the report that the whistleblower’s identity will become known, then they should be advised of this at the earliest possible stage.   </w:t>
      </w:r>
    </w:p>
    <w:p w14:paraId="0F44EA55" w14:textId="47902FAA" w:rsidR="00321064" w:rsidRPr="006462AA" w:rsidRDefault="00321064" w:rsidP="00FC2DEA">
      <w:pPr>
        <w:pStyle w:val="ListParagraph"/>
        <w:rPr>
          <w:sz w:val="24"/>
          <w:szCs w:val="24"/>
          <w:lang w:eastAsia="en-GB"/>
        </w:rPr>
      </w:pPr>
    </w:p>
    <w:p w14:paraId="61DE7A4C" w14:textId="19218259"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All information relating to a whistleblowing report and any information gathered during an investigation should be kept confidentially.  Information should be shared on a strictly need to know basis. </w:t>
      </w:r>
    </w:p>
    <w:p w14:paraId="2F069106" w14:textId="01816F5E" w:rsidR="00321064" w:rsidRPr="006462AA" w:rsidRDefault="00321064" w:rsidP="00FC2DEA">
      <w:pPr>
        <w:pStyle w:val="ListParagraph"/>
        <w:rPr>
          <w:sz w:val="24"/>
          <w:szCs w:val="24"/>
          <w:lang w:eastAsia="en-GB"/>
        </w:rPr>
      </w:pPr>
    </w:p>
    <w:p w14:paraId="29F65DBC" w14:textId="0F2871D3"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A record of this meeting should be written either contemporaneously or shortly following the meeting.  These notes must be kept securely. </w:t>
      </w:r>
    </w:p>
    <w:p w14:paraId="6B76C4DE" w14:textId="5D9A1E1F" w:rsidR="00321064" w:rsidRPr="006462AA" w:rsidRDefault="00321064" w:rsidP="00FC2DEA">
      <w:pPr>
        <w:pStyle w:val="ListParagraph"/>
        <w:rPr>
          <w:sz w:val="24"/>
          <w:szCs w:val="24"/>
          <w:lang w:eastAsia="en-GB"/>
        </w:rPr>
      </w:pPr>
    </w:p>
    <w:p w14:paraId="466B751B" w14:textId="4925183E"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No commitments should be made about the process or outcome of the whistleblowing report, however the whistleblower should be reassured that their concerns will be taken seriously. </w:t>
      </w:r>
    </w:p>
    <w:p w14:paraId="23785B69" w14:textId="7C827535" w:rsidR="00321064" w:rsidRPr="006462AA" w:rsidRDefault="00321064" w:rsidP="00FC2DEA">
      <w:pPr>
        <w:pStyle w:val="ListParagraph"/>
        <w:rPr>
          <w:sz w:val="24"/>
          <w:szCs w:val="24"/>
          <w:lang w:eastAsia="en-GB"/>
        </w:rPr>
      </w:pPr>
    </w:p>
    <w:p w14:paraId="49BDA79C" w14:textId="1344650C" w:rsidR="00321064" w:rsidRPr="006462AA" w:rsidRDefault="00321064" w:rsidP="00313557">
      <w:pPr>
        <w:pStyle w:val="ListParagraph"/>
        <w:numPr>
          <w:ilvl w:val="1"/>
          <w:numId w:val="20"/>
        </w:numPr>
        <w:rPr>
          <w:sz w:val="24"/>
          <w:szCs w:val="24"/>
          <w:lang w:eastAsia="en-GB"/>
        </w:rPr>
      </w:pPr>
      <w:r w:rsidRPr="1FAE0BA4">
        <w:rPr>
          <w:sz w:val="24"/>
          <w:szCs w:val="24"/>
          <w:lang w:eastAsia="en-GB"/>
        </w:rPr>
        <w:t xml:space="preserve">Following the meeting further details should be provided to the </w:t>
      </w:r>
      <w:r w:rsidR="007F3E09" w:rsidRPr="1FAE0BA4">
        <w:rPr>
          <w:sz w:val="24"/>
          <w:szCs w:val="24"/>
          <w:lang w:eastAsia="en-GB"/>
        </w:rPr>
        <w:t>CFOO. The</w:t>
      </w:r>
      <w:r w:rsidRPr="1FAE0BA4">
        <w:rPr>
          <w:sz w:val="24"/>
          <w:szCs w:val="24"/>
          <w:lang w:eastAsia="en-GB"/>
        </w:rPr>
        <w:t xml:space="preserve"> relevant Assistant Director (or more senior manager), with advice from </w:t>
      </w:r>
      <w:r w:rsidR="00991A31" w:rsidRPr="1FAE0BA4">
        <w:rPr>
          <w:sz w:val="24"/>
          <w:szCs w:val="24"/>
          <w:lang w:eastAsia="en-GB"/>
        </w:rPr>
        <w:t>CEO or HR</w:t>
      </w:r>
      <w:r w:rsidRPr="1FAE0BA4">
        <w:rPr>
          <w:sz w:val="24"/>
          <w:szCs w:val="24"/>
          <w:lang w:eastAsia="en-GB"/>
        </w:rPr>
        <w:t xml:space="preserve">, will assign the investigation to a suitable person.  This may be the manager who initially took the whistleblowing report or a member of staff from another area.  In cases of potential criminality or health and safety then </w:t>
      </w:r>
      <w:proofErr w:type="spellStart"/>
      <w:r w:rsidRPr="1FAE0BA4">
        <w:rPr>
          <w:sz w:val="24"/>
          <w:szCs w:val="24"/>
          <w:lang w:eastAsia="en-GB"/>
        </w:rPr>
        <w:t>Veritau</w:t>
      </w:r>
      <w:proofErr w:type="spellEnd"/>
      <w:r w:rsidRPr="1FAE0BA4">
        <w:rPr>
          <w:sz w:val="24"/>
          <w:szCs w:val="24"/>
          <w:lang w:eastAsia="en-GB"/>
        </w:rPr>
        <w:t xml:space="preserve"> and the Health and Safety Team respectively will normally take the responsibility for investigating the concern. </w:t>
      </w:r>
    </w:p>
    <w:p w14:paraId="0A5E44DA" w14:textId="4B026AA6" w:rsidR="1FAE0BA4" w:rsidRDefault="1FAE0BA4" w:rsidP="1FAE0BA4">
      <w:pPr>
        <w:pStyle w:val="Heading2"/>
        <w:numPr>
          <w:ilvl w:val="0"/>
          <w:numId w:val="0"/>
        </w:numPr>
      </w:pPr>
    </w:p>
    <w:p w14:paraId="5C6EB4DF" w14:textId="54596D4B" w:rsidR="00321064" w:rsidRPr="006462AA" w:rsidRDefault="00321064" w:rsidP="009E6D35">
      <w:pPr>
        <w:pStyle w:val="Heading2"/>
        <w:rPr>
          <w:rFonts w:ascii="Arial" w:hAnsi="Arial" w:cs="Arial"/>
          <w:sz w:val="40"/>
          <w:szCs w:val="40"/>
        </w:rPr>
      </w:pPr>
      <w:r w:rsidRPr="00061ADD">
        <w:tab/>
      </w:r>
      <w:bookmarkStart w:id="15" w:name="_Toc135215613"/>
      <w:r w:rsidRPr="006462AA">
        <w:rPr>
          <w:rFonts w:ascii="Arial" w:hAnsi="Arial" w:cs="Arial"/>
          <w:sz w:val="40"/>
          <w:szCs w:val="40"/>
        </w:rPr>
        <w:t>Conducting an investigation</w:t>
      </w:r>
      <w:bookmarkEnd w:id="15"/>
      <w:r w:rsidRPr="006462AA">
        <w:rPr>
          <w:rFonts w:ascii="Arial" w:hAnsi="Arial" w:cs="Arial"/>
          <w:sz w:val="40"/>
          <w:szCs w:val="40"/>
        </w:rPr>
        <w:t xml:space="preserve"> </w:t>
      </w:r>
    </w:p>
    <w:p w14:paraId="05C2AAFE" w14:textId="77777777" w:rsidR="009E6D35" w:rsidRPr="006462AA" w:rsidRDefault="009E6D35" w:rsidP="009E6D35">
      <w:pPr>
        <w:rPr>
          <w:sz w:val="24"/>
          <w:szCs w:val="24"/>
        </w:rPr>
      </w:pPr>
    </w:p>
    <w:p w14:paraId="1E1DB0B8" w14:textId="6FAD6FE9"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At the outset of an investigation the person responsible for looking into the concern should inform the whistleblower that they are taking the matter forward. </w:t>
      </w:r>
    </w:p>
    <w:p w14:paraId="74115749" w14:textId="7178B41D" w:rsidR="00321064" w:rsidRPr="006462AA" w:rsidRDefault="00321064" w:rsidP="00FC2DEA">
      <w:pPr>
        <w:pStyle w:val="ListParagraph"/>
        <w:rPr>
          <w:sz w:val="24"/>
          <w:szCs w:val="24"/>
          <w:lang w:eastAsia="en-GB"/>
        </w:rPr>
      </w:pPr>
    </w:p>
    <w:p w14:paraId="584E808E" w14:textId="200E743E" w:rsidR="00321064" w:rsidRPr="006462AA" w:rsidRDefault="00321064" w:rsidP="00FC2DEA">
      <w:pPr>
        <w:pStyle w:val="ListParagraph"/>
        <w:numPr>
          <w:ilvl w:val="1"/>
          <w:numId w:val="20"/>
        </w:numPr>
        <w:rPr>
          <w:sz w:val="24"/>
          <w:szCs w:val="24"/>
          <w:lang w:eastAsia="en-GB"/>
        </w:rPr>
      </w:pPr>
      <w:r w:rsidRPr="006462AA">
        <w:rPr>
          <w:sz w:val="24"/>
          <w:szCs w:val="24"/>
          <w:lang w:eastAsia="en-GB"/>
        </w:rPr>
        <w:t>Updates during the course of the investigation should be provided to the whistleblower but only if it is appropriate (</w:t>
      </w:r>
      <w:proofErr w:type="gramStart"/>
      <w:r w:rsidRPr="006462AA">
        <w:rPr>
          <w:sz w:val="24"/>
          <w:szCs w:val="24"/>
          <w:lang w:eastAsia="en-GB"/>
        </w:rPr>
        <w:t>e.g.</w:t>
      </w:r>
      <w:proofErr w:type="gramEnd"/>
      <w:r w:rsidRPr="006462AA">
        <w:rPr>
          <w:sz w:val="24"/>
          <w:szCs w:val="24"/>
          <w:lang w:eastAsia="en-GB"/>
        </w:rPr>
        <w:t xml:space="preserve"> is data protection observed) and does not prejudice the investigation.  If this is the case then it may be appropriate to only update the whistleblower once the investigation has concluded. </w:t>
      </w:r>
    </w:p>
    <w:p w14:paraId="56A6BD4C" w14:textId="3EA2A0A4" w:rsidR="00321064" w:rsidRPr="006462AA" w:rsidRDefault="00321064" w:rsidP="00FC2DEA">
      <w:pPr>
        <w:pStyle w:val="ListParagraph"/>
        <w:rPr>
          <w:sz w:val="24"/>
          <w:szCs w:val="24"/>
          <w:lang w:eastAsia="en-GB"/>
        </w:rPr>
      </w:pPr>
    </w:p>
    <w:p w14:paraId="55B8F429" w14:textId="2451F39F"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It is advisable that notes are taken throughout the investigative process in terms of actions taken and conclusions reached. </w:t>
      </w:r>
    </w:p>
    <w:p w14:paraId="337BA3C9" w14:textId="7FF980D3" w:rsidR="00321064" w:rsidRPr="006462AA" w:rsidRDefault="00321064" w:rsidP="00FC2DEA">
      <w:pPr>
        <w:pStyle w:val="ListParagraph"/>
        <w:rPr>
          <w:sz w:val="24"/>
          <w:szCs w:val="24"/>
          <w:lang w:eastAsia="en-GB"/>
        </w:rPr>
      </w:pPr>
    </w:p>
    <w:p w14:paraId="29471629" w14:textId="593C698D" w:rsidR="00321064" w:rsidRPr="006462AA" w:rsidRDefault="00321064" w:rsidP="00FC2DEA">
      <w:pPr>
        <w:pStyle w:val="ListParagraph"/>
        <w:numPr>
          <w:ilvl w:val="1"/>
          <w:numId w:val="20"/>
        </w:numPr>
        <w:rPr>
          <w:sz w:val="24"/>
          <w:szCs w:val="24"/>
          <w:lang w:eastAsia="en-GB"/>
        </w:rPr>
      </w:pPr>
      <w:r w:rsidRPr="006462AA">
        <w:rPr>
          <w:sz w:val="24"/>
          <w:szCs w:val="24"/>
          <w:lang w:eastAsia="en-GB"/>
        </w:rPr>
        <w:t>The anonymity of the whistleblower should be considered before any and all actions are taken in connection with the investigation.  If a situation arises where it is not possible to resolve the whistleblowing report without the identity of the whistleblower becoming known, then this should be reported to and discussed with that person before the action is taken.  The person’s name should only be made known to other employees on a need</w:t>
      </w:r>
      <w:r w:rsidR="00FC2DEA" w:rsidRPr="006462AA">
        <w:rPr>
          <w:sz w:val="24"/>
          <w:szCs w:val="24"/>
          <w:lang w:eastAsia="en-GB"/>
        </w:rPr>
        <w:t>-</w:t>
      </w:r>
      <w:r w:rsidRPr="006462AA">
        <w:rPr>
          <w:sz w:val="24"/>
          <w:szCs w:val="24"/>
          <w:lang w:eastAsia="en-GB"/>
        </w:rPr>
        <w:t>to</w:t>
      </w:r>
      <w:r w:rsidR="00FC2DEA" w:rsidRPr="006462AA">
        <w:rPr>
          <w:sz w:val="24"/>
          <w:szCs w:val="24"/>
          <w:lang w:eastAsia="en-GB"/>
        </w:rPr>
        <w:t>-</w:t>
      </w:r>
      <w:r w:rsidRPr="006462AA">
        <w:rPr>
          <w:sz w:val="24"/>
          <w:szCs w:val="24"/>
          <w:lang w:eastAsia="en-GB"/>
        </w:rPr>
        <w:t xml:space="preserve">know basis.  Equally if the whistleblowing report is about a specific </w:t>
      </w:r>
      <w:proofErr w:type="gramStart"/>
      <w:r w:rsidRPr="006462AA">
        <w:rPr>
          <w:sz w:val="24"/>
          <w:szCs w:val="24"/>
          <w:lang w:eastAsia="en-GB"/>
        </w:rPr>
        <w:t>person</w:t>
      </w:r>
      <w:proofErr w:type="gramEnd"/>
      <w:r w:rsidRPr="006462AA">
        <w:rPr>
          <w:sz w:val="24"/>
          <w:szCs w:val="24"/>
          <w:lang w:eastAsia="en-GB"/>
        </w:rPr>
        <w:t xml:space="preserve"> then that person’s identity should also be protected. </w:t>
      </w:r>
    </w:p>
    <w:p w14:paraId="2729E8F4" w14:textId="21D02946" w:rsidR="00321064" w:rsidRPr="006462AA" w:rsidRDefault="00321064" w:rsidP="00FC2DEA">
      <w:pPr>
        <w:pStyle w:val="ListParagraph"/>
        <w:rPr>
          <w:sz w:val="24"/>
          <w:szCs w:val="24"/>
          <w:lang w:eastAsia="en-GB"/>
        </w:rPr>
      </w:pPr>
    </w:p>
    <w:p w14:paraId="0DDAAC1D" w14:textId="6032DCDE"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Investigations instigated following a whistleblowing report should be dealt with as quickly as possible.  Appropriate levels of resource should be made available to deal with the matter expeditiously.  Where a whistleblowing investigation leads to other </w:t>
      </w:r>
      <w:r w:rsidR="00B8286B" w:rsidRPr="006462AA">
        <w:rPr>
          <w:sz w:val="24"/>
          <w:szCs w:val="24"/>
          <w:lang w:eastAsia="en-GB"/>
        </w:rPr>
        <w:t>Ironstone Academy Trust</w:t>
      </w:r>
      <w:r w:rsidRPr="006462AA">
        <w:rPr>
          <w:sz w:val="24"/>
          <w:szCs w:val="24"/>
          <w:lang w:eastAsia="en-GB"/>
        </w:rPr>
        <w:t xml:space="preserve"> processes being required (</w:t>
      </w:r>
      <w:proofErr w:type="gramStart"/>
      <w:r w:rsidRPr="006462AA">
        <w:rPr>
          <w:sz w:val="24"/>
          <w:szCs w:val="24"/>
          <w:lang w:eastAsia="en-GB"/>
        </w:rPr>
        <w:t>e.g.</w:t>
      </w:r>
      <w:proofErr w:type="gramEnd"/>
      <w:r w:rsidRPr="006462AA">
        <w:rPr>
          <w:sz w:val="24"/>
          <w:szCs w:val="24"/>
          <w:lang w:eastAsia="en-GB"/>
        </w:rPr>
        <w:t xml:space="preserve"> a disciplinary investigation) then relevant officers should be made aware at an early stage. </w:t>
      </w:r>
    </w:p>
    <w:p w14:paraId="1909955A" w14:textId="77777777" w:rsidR="00321064" w:rsidRPr="006462AA" w:rsidRDefault="00321064" w:rsidP="00FC2DEA">
      <w:pPr>
        <w:pStyle w:val="ListParagraph"/>
        <w:rPr>
          <w:sz w:val="24"/>
          <w:szCs w:val="24"/>
          <w:lang w:eastAsia="en-GB"/>
        </w:rPr>
      </w:pPr>
      <w:r w:rsidRPr="006462AA">
        <w:rPr>
          <w:sz w:val="24"/>
          <w:szCs w:val="24"/>
          <w:lang w:eastAsia="en-GB"/>
        </w:rPr>
        <w:t xml:space="preserve"> </w:t>
      </w:r>
    </w:p>
    <w:p w14:paraId="3DED2EC5" w14:textId="5D58354B" w:rsidR="00321064" w:rsidRPr="006462AA" w:rsidRDefault="00321064" w:rsidP="00313557">
      <w:pPr>
        <w:pStyle w:val="ListParagraph"/>
        <w:numPr>
          <w:ilvl w:val="1"/>
          <w:numId w:val="20"/>
        </w:numPr>
        <w:rPr>
          <w:sz w:val="24"/>
          <w:szCs w:val="24"/>
          <w:lang w:eastAsia="en-GB"/>
        </w:rPr>
      </w:pPr>
      <w:r w:rsidRPr="1FAE0BA4">
        <w:rPr>
          <w:sz w:val="24"/>
          <w:szCs w:val="24"/>
          <w:lang w:eastAsia="en-GB"/>
        </w:rPr>
        <w:t xml:space="preserve">At the conclusion of an investigation a report should be drafted outlining any supporting or non-supporting evidence, conclusions reached, and recommendations.  This report should be sent to the senior responsible manager </w:t>
      </w:r>
      <w:r w:rsidR="0048205F" w:rsidRPr="1FAE0BA4">
        <w:rPr>
          <w:sz w:val="24"/>
          <w:szCs w:val="24"/>
          <w:lang w:eastAsia="en-GB"/>
        </w:rPr>
        <w:t>CEO</w:t>
      </w:r>
      <w:r w:rsidRPr="1FAE0BA4">
        <w:rPr>
          <w:sz w:val="24"/>
          <w:szCs w:val="24"/>
          <w:lang w:eastAsia="en-GB"/>
        </w:rPr>
        <w:t xml:space="preserve">, and if relevant the HR advisor assigned to the case. </w:t>
      </w:r>
    </w:p>
    <w:p w14:paraId="2AD315B7" w14:textId="6EA1F69D" w:rsidR="1FAE0BA4" w:rsidRDefault="1FAE0BA4" w:rsidP="1FAE0BA4">
      <w:pPr>
        <w:pStyle w:val="Heading2"/>
        <w:numPr>
          <w:ilvl w:val="0"/>
          <w:numId w:val="0"/>
        </w:numPr>
      </w:pPr>
    </w:p>
    <w:p w14:paraId="7ED57E68" w14:textId="08BD88EC" w:rsidR="1FAE0BA4" w:rsidRDefault="1FAE0BA4" w:rsidP="1FAE0BA4"/>
    <w:p w14:paraId="4F27FFC0" w14:textId="607ED0BA" w:rsidR="00321064" w:rsidRPr="006462AA" w:rsidRDefault="00321064" w:rsidP="009E6D35">
      <w:pPr>
        <w:pStyle w:val="Heading2"/>
        <w:rPr>
          <w:rFonts w:ascii="Arial" w:hAnsi="Arial" w:cs="Arial"/>
          <w:sz w:val="40"/>
          <w:szCs w:val="40"/>
        </w:rPr>
      </w:pPr>
      <w:r w:rsidRPr="00061ADD">
        <w:t xml:space="preserve"> </w:t>
      </w:r>
      <w:r w:rsidRPr="006462AA">
        <w:rPr>
          <w:rFonts w:ascii="Arial" w:hAnsi="Arial" w:cs="Arial"/>
          <w:sz w:val="40"/>
          <w:szCs w:val="40"/>
        </w:rPr>
        <w:tab/>
      </w:r>
      <w:bookmarkStart w:id="16" w:name="_Toc135215614"/>
      <w:r w:rsidRPr="006462AA">
        <w:rPr>
          <w:rFonts w:ascii="Arial" w:hAnsi="Arial" w:cs="Arial"/>
          <w:sz w:val="40"/>
          <w:szCs w:val="40"/>
        </w:rPr>
        <w:t>Special Circumstances</w:t>
      </w:r>
      <w:bookmarkEnd w:id="16"/>
      <w:r w:rsidRPr="006462AA">
        <w:rPr>
          <w:rFonts w:ascii="Arial" w:hAnsi="Arial" w:cs="Arial"/>
          <w:sz w:val="40"/>
          <w:szCs w:val="40"/>
        </w:rPr>
        <w:t xml:space="preserve"> </w:t>
      </w:r>
    </w:p>
    <w:p w14:paraId="4C8B4DD4" w14:textId="77777777" w:rsidR="00321064" w:rsidRPr="00061ADD" w:rsidRDefault="00321064" w:rsidP="00321064">
      <w:pPr>
        <w:spacing w:after="0" w:line="259" w:lineRule="auto"/>
      </w:pPr>
      <w:r w:rsidRPr="00061ADD">
        <w:t xml:space="preserve"> </w:t>
      </w:r>
    </w:p>
    <w:p w14:paraId="7E405C07" w14:textId="6597A60C" w:rsidR="00321064" w:rsidRPr="006462AA" w:rsidRDefault="00321064" w:rsidP="00FC2DEA">
      <w:pPr>
        <w:pStyle w:val="Heading3"/>
        <w:spacing w:before="0"/>
      </w:pPr>
      <w:bookmarkStart w:id="17" w:name="_Toc135215615"/>
      <w:r w:rsidRPr="006462AA">
        <w:rPr>
          <w:color w:val="ED7D31" w:themeColor="accent2"/>
        </w:rPr>
        <w:t>Safeguarding Concerns</w:t>
      </w:r>
      <w:bookmarkEnd w:id="17"/>
      <w:r w:rsidRPr="006462AA">
        <w:rPr>
          <w:color w:val="ED7D31" w:themeColor="accent2"/>
        </w:rPr>
        <w:t xml:space="preserve"> </w:t>
      </w:r>
    </w:p>
    <w:p w14:paraId="4E6E9E79" w14:textId="7EB5EC27"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If a concern includes issues relating to safeguarding, the relevant assistant director, director, or </w:t>
      </w:r>
      <w:r w:rsidR="00BF0A75" w:rsidRPr="006462AA">
        <w:rPr>
          <w:sz w:val="24"/>
          <w:szCs w:val="24"/>
          <w:lang w:eastAsia="en-GB"/>
        </w:rPr>
        <w:t xml:space="preserve">CFOO/ </w:t>
      </w:r>
      <w:r w:rsidR="007F3E09" w:rsidRPr="006462AA">
        <w:rPr>
          <w:sz w:val="24"/>
          <w:szCs w:val="24"/>
          <w:lang w:eastAsia="en-GB"/>
        </w:rPr>
        <w:t>CEO should</w:t>
      </w:r>
      <w:r w:rsidRPr="006462AA">
        <w:rPr>
          <w:sz w:val="24"/>
          <w:szCs w:val="24"/>
          <w:lang w:eastAsia="en-GB"/>
        </w:rPr>
        <w:t xml:space="preserve"> ensure that the matter is raised immediately through normal </w:t>
      </w:r>
      <w:r w:rsidR="00B8286B" w:rsidRPr="006462AA">
        <w:rPr>
          <w:sz w:val="24"/>
          <w:szCs w:val="24"/>
          <w:lang w:eastAsia="en-GB"/>
        </w:rPr>
        <w:t>Ironstone Academy Trust</w:t>
      </w:r>
      <w:r w:rsidR="00F50CB6" w:rsidRPr="006462AA">
        <w:rPr>
          <w:sz w:val="24"/>
          <w:szCs w:val="24"/>
          <w:lang w:eastAsia="en-GB"/>
        </w:rPr>
        <w:t xml:space="preserve"> </w:t>
      </w:r>
      <w:r w:rsidRPr="006462AA">
        <w:rPr>
          <w:sz w:val="24"/>
          <w:szCs w:val="24"/>
          <w:lang w:eastAsia="en-GB"/>
        </w:rPr>
        <w:t xml:space="preserve">safeguarding arrangements. </w:t>
      </w:r>
    </w:p>
    <w:p w14:paraId="32AFA3F1" w14:textId="3313F2E3" w:rsidR="00321064" w:rsidRPr="006462AA" w:rsidRDefault="00321064" w:rsidP="00FC2DEA">
      <w:pPr>
        <w:pStyle w:val="Heading3"/>
        <w:rPr>
          <w:color w:val="ED7D31" w:themeColor="accent2"/>
        </w:rPr>
      </w:pPr>
      <w:bookmarkStart w:id="18" w:name="_Toc135215616"/>
      <w:r w:rsidRPr="006462AA">
        <w:rPr>
          <w:color w:val="ED7D31" w:themeColor="accent2"/>
        </w:rPr>
        <w:t>Anonymous Concerns</w:t>
      </w:r>
      <w:bookmarkEnd w:id="18"/>
      <w:r w:rsidRPr="006462AA">
        <w:rPr>
          <w:color w:val="ED7D31" w:themeColor="accent2"/>
        </w:rPr>
        <w:t xml:space="preserve"> </w:t>
      </w:r>
    </w:p>
    <w:p w14:paraId="54FE61CD" w14:textId="52C9D642"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If a concern has been made anonymously then it must still be treated as credible and dealt with through the procedure detailed in this guidance.   </w:t>
      </w:r>
    </w:p>
    <w:p w14:paraId="5ADE9700" w14:textId="4E8F163D" w:rsidR="00321064" w:rsidRPr="006462AA" w:rsidRDefault="00321064" w:rsidP="00FC2DEA">
      <w:pPr>
        <w:pStyle w:val="Heading3"/>
      </w:pPr>
      <w:bookmarkStart w:id="19" w:name="_Toc135215617"/>
      <w:r w:rsidRPr="006462AA">
        <w:rPr>
          <w:color w:val="ED7D31" w:themeColor="accent2"/>
        </w:rPr>
        <w:t>Victimisation</w:t>
      </w:r>
      <w:bookmarkEnd w:id="19"/>
      <w:r w:rsidRPr="006462AA">
        <w:rPr>
          <w:color w:val="ED7D31" w:themeColor="accent2"/>
        </w:rPr>
        <w:t xml:space="preserve"> </w:t>
      </w:r>
    </w:p>
    <w:p w14:paraId="2EB7C8FE" w14:textId="3EAEA5D0" w:rsidR="00321064" w:rsidRPr="006462AA" w:rsidRDefault="00321064" w:rsidP="00FC2DEA">
      <w:pPr>
        <w:pStyle w:val="ListParagraph"/>
        <w:numPr>
          <w:ilvl w:val="1"/>
          <w:numId w:val="20"/>
        </w:numPr>
        <w:rPr>
          <w:sz w:val="24"/>
          <w:szCs w:val="24"/>
          <w:lang w:eastAsia="en-GB"/>
        </w:rPr>
      </w:pPr>
      <w:r w:rsidRPr="006462AA">
        <w:rPr>
          <w:sz w:val="24"/>
          <w:szCs w:val="24"/>
          <w:lang w:eastAsia="en-GB"/>
        </w:rPr>
        <w:t>If the whistleblower reports that their identity has become known and they are being victimised then this should be reported to the relevant NYES HR professional as soon as possible.</w:t>
      </w:r>
      <w:r w:rsidR="00F50CB6" w:rsidRPr="006462AA">
        <w:rPr>
          <w:sz w:val="24"/>
          <w:szCs w:val="24"/>
          <w:lang w:eastAsia="en-GB"/>
        </w:rPr>
        <w:t xml:space="preserve"> </w:t>
      </w:r>
      <w:r w:rsidRPr="006462AA">
        <w:rPr>
          <w:sz w:val="24"/>
          <w:szCs w:val="24"/>
          <w:lang w:eastAsia="en-GB"/>
        </w:rPr>
        <w:t xml:space="preserve">The </w:t>
      </w:r>
      <w:r w:rsidR="00B8286B" w:rsidRPr="006462AA">
        <w:rPr>
          <w:sz w:val="24"/>
          <w:szCs w:val="24"/>
          <w:lang w:eastAsia="en-GB"/>
        </w:rPr>
        <w:t>Ironstone Academy Trust</w:t>
      </w:r>
      <w:r w:rsidR="00F50CB6" w:rsidRPr="006462AA">
        <w:rPr>
          <w:sz w:val="24"/>
          <w:szCs w:val="24"/>
          <w:lang w:eastAsia="en-GB"/>
        </w:rPr>
        <w:t xml:space="preserve"> may</w:t>
      </w:r>
      <w:r w:rsidRPr="006462AA">
        <w:rPr>
          <w:sz w:val="24"/>
          <w:szCs w:val="24"/>
          <w:lang w:eastAsia="en-GB"/>
        </w:rPr>
        <w:t xml:space="preserve"> be in contravention of whistleblowing legislation if action is not taken to address this. </w:t>
      </w:r>
    </w:p>
    <w:p w14:paraId="2054534E" w14:textId="6FC1EFC6" w:rsidR="00321064" w:rsidRPr="006462AA" w:rsidRDefault="00321064" w:rsidP="00FC2DEA">
      <w:pPr>
        <w:pStyle w:val="Heading3"/>
        <w:rPr>
          <w:color w:val="ED7D31" w:themeColor="accent2"/>
        </w:rPr>
      </w:pPr>
      <w:r w:rsidRPr="006462AA">
        <w:rPr>
          <w:color w:val="ED7D31" w:themeColor="accent2"/>
        </w:rPr>
        <w:lastRenderedPageBreak/>
        <w:t xml:space="preserve"> </w:t>
      </w:r>
      <w:bookmarkStart w:id="20" w:name="_Toc135215618"/>
      <w:r w:rsidRPr="006462AA">
        <w:rPr>
          <w:color w:val="ED7D31" w:themeColor="accent2"/>
        </w:rPr>
        <w:t>Vexatious / Malicious reports</w:t>
      </w:r>
      <w:bookmarkEnd w:id="20"/>
      <w:r w:rsidRPr="006462AA">
        <w:rPr>
          <w:color w:val="ED7D31" w:themeColor="accent2"/>
        </w:rPr>
        <w:t xml:space="preserve"> </w:t>
      </w:r>
    </w:p>
    <w:p w14:paraId="3B1735EB" w14:textId="1F048D45" w:rsidR="00D377F8" w:rsidRPr="006462AA" w:rsidRDefault="00321064" w:rsidP="00D377F8">
      <w:pPr>
        <w:pStyle w:val="ListParagraph"/>
        <w:numPr>
          <w:ilvl w:val="1"/>
          <w:numId w:val="20"/>
        </w:numPr>
        <w:rPr>
          <w:sz w:val="24"/>
          <w:szCs w:val="24"/>
          <w:lang w:eastAsia="en-GB"/>
        </w:rPr>
      </w:pPr>
      <w:r w:rsidRPr="006462AA">
        <w:rPr>
          <w:sz w:val="24"/>
          <w:szCs w:val="24"/>
          <w:lang w:eastAsia="en-GB"/>
        </w:rPr>
        <w:t xml:space="preserve">If a whistleblower acts in bad faith or raises malicious, vexatious, or knowingly untrue concerns in order to harm colleagues, their School or the </w:t>
      </w:r>
      <w:r w:rsidR="00BF0A75" w:rsidRPr="006462AA">
        <w:rPr>
          <w:sz w:val="24"/>
          <w:szCs w:val="24"/>
          <w:lang w:eastAsia="en-GB"/>
        </w:rPr>
        <w:t>Trust</w:t>
      </w:r>
      <w:r w:rsidRPr="006462AA">
        <w:rPr>
          <w:sz w:val="24"/>
          <w:szCs w:val="24"/>
          <w:lang w:eastAsia="en-GB"/>
        </w:rPr>
        <w:t xml:space="preserve"> then they may face disciplinary action.  If you suspect this is the case then this should be reported to the relevant NYES HR professional </w:t>
      </w:r>
      <w:r w:rsidR="00742DE0" w:rsidRPr="006462AA">
        <w:rPr>
          <w:sz w:val="24"/>
          <w:szCs w:val="24"/>
          <w:lang w:eastAsia="en-GB"/>
        </w:rPr>
        <w:t>a</w:t>
      </w:r>
      <w:r w:rsidRPr="006462AA">
        <w:rPr>
          <w:sz w:val="24"/>
          <w:szCs w:val="24"/>
          <w:lang w:eastAsia="en-GB"/>
        </w:rPr>
        <w:t xml:space="preserve">s soon as possible.  </w:t>
      </w:r>
    </w:p>
    <w:p w14:paraId="7D639185" w14:textId="77777777" w:rsidR="00D377F8" w:rsidRPr="006462AA" w:rsidRDefault="00D377F8" w:rsidP="00D377F8">
      <w:pPr>
        <w:pStyle w:val="ListParagraph"/>
        <w:rPr>
          <w:sz w:val="24"/>
          <w:szCs w:val="24"/>
          <w:lang w:eastAsia="en-GB"/>
        </w:rPr>
      </w:pPr>
    </w:p>
    <w:p w14:paraId="102F8228" w14:textId="5E8F6EA7" w:rsidR="00D377F8" w:rsidRPr="006462AA" w:rsidRDefault="00D377F8" w:rsidP="00D377F8">
      <w:pPr>
        <w:pStyle w:val="ListParagraph"/>
        <w:numPr>
          <w:ilvl w:val="1"/>
          <w:numId w:val="20"/>
        </w:numPr>
        <w:rPr>
          <w:sz w:val="24"/>
          <w:szCs w:val="24"/>
          <w:lang w:eastAsia="en-GB"/>
        </w:rPr>
      </w:pPr>
      <w:r w:rsidRPr="006462AA">
        <w:rPr>
          <w:sz w:val="24"/>
          <w:szCs w:val="24"/>
          <w:lang w:eastAsia="en-GB"/>
        </w:rPr>
        <w:t xml:space="preserve">A vexatious complaint is one that is pursued, regardless of its merits, solely to harass, annoy or subdue somebody; something that is unreasonable, without foundation, frivolous, repetitive, burdensome or unwarranted. A malicious complaint is one that is made with the intention of causing harm. </w:t>
      </w:r>
    </w:p>
    <w:p w14:paraId="31605A33" w14:textId="0CFA4B4B" w:rsidR="00321064" w:rsidRPr="006462AA" w:rsidRDefault="00321064" w:rsidP="00FC2DEA">
      <w:pPr>
        <w:pStyle w:val="Heading3"/>
        <w:rPr>
          <w:color w:val="ED7D31" w:themeColor="accent2"/>
        </w:rPr>
      </w:pPr>
      <w:bookmarkStart w:id="21" w:name="_Toc135215619"/>
      <w:r w:rsidRPr="006462AA">
        <w:rPr>
          <w:color w:val="ED7D31" w:themeColor="accent2"/>
        </w:rPr>
        <w:t>External Disclosures</w:t>
      </w:r>
      <w:bookmarkEnd w:id="21"/>
      <w:r w:rsidRPr="006462AA">
        <w:rPr>
          <w:color w:val="ED7D31" w:themeColor="accent2"/>
        </w:rPr>
        <w:t xml:space="preserve"> </w:t>
      </w:r>
    </w:p>
    <w:p w14:paraId="58711E28" w14:textId="42BA96C2"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It is important to be supportive and encouraging to those raising a concern.  However, if an employee indicates that they are considering taking their concerns outside of the </w:t>
      </w:r>
      <w:r w:rsidR="00B8286B" w:rsidRPr="006462AA">
        <w:rPr>
          <w:sz w:val="24"/>
          <w:szCs w:val="24"/>
          <w:lang w:eastAsia="en-GB"/>
        </w:rPr>
        <w:t>Ironstone Academy Trust</w:t>
      </w:r>
      <w:r w:rsidRPr="006462AA">
        <w:rPr>
          <w:sz w:val="24"/>
          <w:szCs w:val="24"/>
          <w:lang w:eastAsia="en-GB"/>
        </w:rPr>
        <w:t xml:space="preserve">, for example to the media or social networking sites, you should advise them that: </w:t>
      </w:r>
    </w:p>
    <w:p w14:paraId="069ED740" w14:textId="77777777" w:rsidR="00321064" w:rsidRPr="006462AA" w:rsidRDefault="00321064" w:rsidP="00321064">
      <w:pPr>
        <w:spacing w:after="0" w:line="259" w:lineRule="auto"/>
        <w:rPr>
          <w:sz w:val="24"/>
          <w:szCs w:val="24"/>
        </w:rPr>
      </w:pPr>
      <w:r w:rsidRPr="006462AA">
        <w:rPr>
          <w:sz w:val="24"/>
          <w:szCs w:val="24"/>
        </w:rPr>
        <w:t xml:space="preserve"> </w:t>
      </w:r>
    </w:p>
    <w:p w14:paraId="16B46940" w14:textId="77777777" w:rsidR="00321064" w:rsidRPr="006462AA" w:rsidRDefault="00321064" w:rsidP="00FC2DEA">
      <w:pPr>
        <w:numPr>
          <w:ilvl w:val="0"/>
          <w:numId w:val="37"/>
        </w:numPr>
        <w:spacing w:after="4" w:line="248" w:lineRule="auto"/>
        <w:ind w:left="1080" w:right="10" w:hanging="360"/>
        <w:jc w:val="left"/>
        <w:rPr>
          <w:sz w:val="24"/>
          <w:szCs w:val="24"/>
        </w:rPr>
      </w:pPr>
      <w:r w:rsidRPr="006462AA">
        <w:rPr>
          <w:sz w:val="24"/>
          <w:szCs w:val="24"/>
        </w:rPr>
        <w:t xml:space="preserve">you will not be able to support them if they do so; </w:t>
      </w:r>
    </w:p>
    <w:p w14:paraId="22367C2A" w14:textId="77777777" w:rsidR="00321064" w:rsidRPr="006462AA" w:rsidRDefault="00321064" w:rsidP="00FC2DEA">
      <w:pPr>
        <w:numPr>
          <w:ilvl w:val="0"/>
          <w:numId w:val="37"/>
        </w:numPr>
        <w:spacing w:after="4" w:line="248" w:lineRule="auto"/>
        <w:ind w:left="1080" w:right="10" w:hanging="360"/>
        <w:jc w:val="left"/>
        <w:rPr>
          <w:sz w:val="24"/>
          <w:szCs w:val="24"/>
        </w:rPr>
      </w:pPr>
      <w:r w:rsidRPr="006462AA">
        <w:rPr>
          <w:sz w:val="24"/>
          <w:szCs w:val="24"/>
        </w:rPr>
        <w:t xml:space="preserve">external disclosures to outside bodies may not be covered by the whistleblowing policy and relevant legislation; </w:t>
      </w:r>
    </w:p>
    <w:p w14:paraId="1F462EC7" w14:textId="77777777" w:rsidR="00321064" w:rsidRPr="006462AA" w:rsidRDefault="00321064" w:rsidP="00FC2DEA">
      <w:pPr>
        <w:numPr>
          <w:ilvl w:val="0"/>
          <w:numId w:val="37"/>
        </w:numPr>
        <w:spacing w:after="4" w:line="248" w:lineRule="auto"/>
        <w:ind w:left="1080" w:right="10" w:hanging="360"/>
        <w:jc w:val="left"/>
        <w:rPr>
          <w:sz w:val="24"/>
          <w:szCs w:val="24"/>
        </w:rPr>
      </w:pPr>
      <w:r w:rsidRPr="006462AA">
        <w:rPr>
          <w:sz w:val="24"/>
          <w:szCs w:val="24"/>
        </w:rPr>
        <w:t xml:space="preserve">their actions may represent an unauthorised disclosure; </w:t>
      </w:r>
    </w:p>
    <w:p w14:paraId="627D41C3" w14:textId="77777777" w:rsidR="00321064" w:rsidRPr="006462AA" w:rsidRDefault="00321064" w:rsidP="00FC2DEA">
      <w:pPr>
        <w:numPr>
          <w:ilvl w:val="0"/>
          <w:numId w:val="37"/>
        </w:numPr>
        <w:spacing w:after="4" w:line="248" w:lineRule="auto"/>
        <w:ind w:left="1080" w:right="10" w:hanging="360"/>
        <w:jc w:val="left"/>
        <w:rPr>
          <w:sz w:val="24"/>
          <w:szCs w:val="24"/>
        </w:rPr>
      </w:pPr>
      <w:r w:rsidRPr="006462AA">
        <w:rPr>
          <w:sz w:val="24"/>
          <w:szCs w:val="24"/>
        </w:rPr>
        <w:t xml:space="preserve">they could jeopardise any legal protection they may have; and </w:t>
      </w:r>
    </w:p>
    <w:p w14:paraId="7A50BBE4" w14:textId="77777777" w:rsidR="00321064" w:rsidRPr="006462AA" w:rsidRDefault="00321064" w:rsidP="00FC2DEA">
      <w:pPr>
        <w:numPr>
          <w:ilvl w:val="0"/>
          <w:numId w:val="37"/>
        </w:numPr>
        <w:spacing w:after="4" w:line="248" w:lineRule="auto"/>
        <w:ind w:left="1080" w:right="10" w:hanging="360"/>
        <w:jc w:val="left"/>
        <w:rPr>
          <w:sz w:val="24"/>
          <w:szCs w:val="24"/>
        </w:rPr>
      </w:pPr>
      <w:r w:rsidRPr="006462AA">
        <w:rPr>
          <w:sz w:val="24"/>
          <w:szCs w:val="24"/>
        </w:rPr>
        <w:t xml:space="preserve">they could face disciplinary action themselves. </w:t>
      </w:r>
    </w:p>
    <w:p w14:paraId="064502CE" w14:textId="36FFCB65" w:rsidR="00321064" w:rsidRPr="006462AA" w:rsidRDefault="00321064" w:rsidP="00FC2DEA">
      <w:pPr>
        <w:spacing w:after="0" w:line="259" w:lineRule="auto"/>
        <w:ind w:left="-322" w:firstLine="60"/>
        <w:rPr>
          <w:sz w:val="24"/>
          <w:szCs w:val="24"/>
        </w:rPr>
      </w:pPr>
    </w:p>
    <w:p w14:paraId="51048AEB" w14:textId="1B86442A"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If a whistleblower does make an external </w:t>
      </w:r>
      <w:r w:rsidR="00EB62F7" w:rsidRPr="006462AA">
        <w:rPr>
          <w:sz w:val="24"/>
          <w:szCs w:val="24"/>
          <w:lang w:eastAsia="en-GB"/>
        </w:rPr>
        <w:t>disclosure,</w:t>
      </w:r>
      <w:r w:rsidRPr="006462AA">
        <w:rPr>
          <w:sz w:val="24"/>
          <w:szCs w:val="24"/>
          <w:lang w:eastAsia="en-GB"/>
        </w:rPr>
        <w:t xml:space="preserve"> then this should be reported to the relevant NYES HR </w:t>
      </w:r>
      <w:r w:rsidR="007F3E09" w:rsidRPr="006462AA">
        <w:rPr>
          <w:sz w:val="24"/>
          <w:szCs w:val="24"/>
          <w:lang w:eastAsia="en-GB"/>
        </w:rPr>
        <w:t>professional and</w:t>
      </w:r>
      <w:r w:rsidRPr="006462AA">
        <w:rPr>
          <w:sz w:val="24"/>
          <w:szCs w:val="24"/>
          <w:lang w:eastAsia="en-GB"/>
        </w:rPr>
        <w:t xml:space="preserve"> </w:t>
      </w:r>
      <w:r w:rsidR="0057381E" w:rsidRPr="006462AA">
        <w:rPr>
          <w:sz w:val="24"/>
          <w:szCs w:val="24"/>
          <w:lang w:eastAsia="en-GB"/>
        </w:rPr>
        <w:t>CEO</w:t>
      </w:r>
      <w:r w:rsidRPr="006462AA">
        <w:rPr>
          <w:sz w:val="24"/>
          <w:szCs w:val="24"/>
          <w:lang w:eastAsia="en-GB"/>
        </w:rPr>
        <w:t xml:space="preserve"> as soon as possible.  Some types of disclosure are covered by national legislation but a consideration of whether an appropriate action has taken place or not should be considered on a case</w:t>
      </w:r>
      <w:r w:rsidR="00FC2DEA" w:rsidRPr="006462AA">
        <w:rPr>
          <w:sz w:val="24"/>
          <w:szCs w:val="24"/>
          <w:lang w:eastAsia="en-GB"/>
        </w:rPr>
        <w:t>-</w:t>
      </w:r>
      <w:r w:rsidRPr="006462AA">
        <w:rPr>
          <w:sz w:val="24"/>
          <w:szCs w:val="24"/>
          <w:lang w:eastAsia="en-GB"/>
        </w:rPr>
        <w:t>by</w:t>
      </w:r>
      <w:r w:rsidR="00FC2DEA" w:rsidRPr="006462AA">
        <w:rPr>
          <w:sz w:val="24"/>
          <w:szCs w:val="24"/>
          <w:lang w:eastAsia="en-GB"/>
        </w:rPr>
        <w:t>-</w:t>
      </w:r>
      <w:r w:rsidRPr="006462AA">
        <w:rPr>
          <w:sz w:val="24"/>
          <w:szCs w:val="24"/>
          <w:lang w:eastAsia="en-GB"/>
        </w:rPr>
        <w:t xml:space="preserve">case basis. </w:t>
      </w:r>
    </w:p>
    <w:p w14:paraId="0DBF4B0C" w14:textId="6D75F3DD" w:rsidR="00321064" w:rsidRPr="006462AA" w:rsidRDefault="00321064" w:rsidP="00FC2DEA">
      <w:pPr>
        <w:pStyle w:val="Heading3"/>
        <w:rPr>
          <w:color w:val="ED7D31" w:themeColor="accent2"/>
        </w:rPr>
      </w:pPr>
      <w:bookmarkStart w:id="22" w:name="_Toc135215620"/>
      <w:r w:rsidRPr="006462AA">
        <w:rPr>
          <w:color w:val="ED7D31" w:themeColor="accent2"/>
        </w:rPr>
        <w:t>Support</w:t>
      </w:r>
      <w:bookmarkEnd w:id="22"/>
      <w:r w:rsidRPr="006462AA">
        <w:rPr>
          <w:color w:val="ED7D31" w:themeColor="accent2"/>
        </w:rPr>
        <w:t xml:space="preserve"> </w:t>
      </w:r>
    </w:p>
    <w:p w14:paraId="7EAEC0C8" w14:textId="511107BA" w:rsidR="00321064" w:rsidRPr="006462AA" w:rsidRDefault="00321064" w:rsidP="00FC2DEA">
      <w:pPr>
        <w:pStyle w:val="ListParagraph"/>
        <w:numPr>
          <w:ilvl w:val="1"/>
          <w:numId w:val="20"/>
        </w:numPr>
        <w:rPr>
          <w:sz w:val="24"/>
          <w:szCs w:val="24"/>
          <w:lang w:eastAsia="en-GB"/>
        </w:rPr>
      </w:pPr>
      <w:r w:rsidRPr="006462AA">
        <w:rPr>
          <w:sz w:val="24"/>
          <w:szCs w:val="24"/>
          <w:lang w:eastAsia="en-GB"/>
        </w:rPr>
        <w:t xml:space="preserve">If you have any queries or issues concerning whistleblowing then seek advice from your manager, trade union, Human Resources or </w:t>
      </w:r>
      <w:r w:rsidR="00092C14" w:rsidRPr="006462AA">
        <w:rPr>
          <w:sz w:val="24"/>
          <w:szCs w:val="24"/>
          <w:lang w:eastAsia="en-GB"/>
        </w:rPr>
        <w:t>CEO</w:t>
      </w:r>
      <w:r w:rsidRPr="006462AA">
        <w:rPr>
          <w:sz w:val="24"/>
          <w:szCs w:val="24"/>
          <w:lang w:eastAsia="en-GB"/>
        </w:rPr>
        <w:t xml:space="preserve">. </w:t>
      </w:r>
    </w:p>
    <w:sectPr w:rsidR="00321064" w:rsidRPr="006462AA" w:rsidSect="00812DDC">
      <w:footerReference w:type="default" r:id="rId18"/>
      <w:type w:val="continuous"/>
      <w:pgSz w:w="11906" w:h="16838"/>
      <w:pgMar w:top="851" w:right="566" w:bottom="284" w:left="851" w:header="708" w:footer="351"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2BE9" w14:textId="77777777" w:rsidR="0019517E" w:rsidRDefault="0019517E" w:rsidP="009C0940">
      <w:pPr>
        <w:spacing w:after="0"/>
      </w:pPr>
      <w:r>
        <w:separator/>
      </w:r>
    </w:p>
  </w:endnote>
  <w:endnote w:type="continuationSeparator" w:id="0">
    <w:p w14:paraId="6A1F7EC4" w14:textId="77777777" w:rsidR="0019517E" w:rsidRDefault="0019517E" w:rsidP="009C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5A9A" w14:textId="7CBC917D" w:rsidR="009C6E8F" w:rsidRDefault="009C6E8F">
    <w:pPr>
      <w:pStyle w:val="Footer"/>
    </w:pPr>
    <w:r>
      <w:rPr>
        <w:noProof/>
      </w:rPr>
      <mc:AlternateContent>
        <mc:Choice Requires="wps">
          <w:drawing>
            <wp:anchor distT="0" distB="0" distL="0" distR="0" simplePos="0" relativeHeight="251662336" behindDoc="0" locked="0" layoutInCell="1" allowOverlap="1" wp14:anchorId="69266ED4" wp14:editId="65756E50">
              <wp:simplePos x="635" y="635"/>
              <wp:positionH relativeFrom="column">
                <wp:align>center</wp:align>
              </wp:positionH>
              <wp:positionV relativeFrom="paragraph">
                <wp:posOffset>635</wp:posOffset>
              </wp:positionV>
              <wp:extent cx="443865" cy="443865"/>
              <wp:effectExtent l="0" t="0" r="2540" b="16510"/>
              <wp:wrapSquare wrapText="bothSides"/>
              <wp:docPr id="72" name="Text Box 7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9C347" w14:textId="33A56CE9" w:rsidR="009C6E8F" w:rsidRPr="009C6E8F" w:rsidRDefault="009C6E8F">
                          <w:pPr>
                            <w:rPr>
                              <w:rFonts w:ascii="Calibri" w:eastAsia="Calibri" w:hAnsi="Calibri" w:cs="Calibri"/>
                              <w:color w:val="FF0000"/>
                              <w:szCs w:val="20"/>
                            </w:rPr>
                          </w:pPr>
                          <w:r w:rsidRPr="009C6E8F">
                            <w:rPr>
                              <w:rFonts w:ascii="Calibri" w:eastAsia="Calibri" w:hAnsi="Calibri" w:cs="Calibri"/>
                              <w:color w:val="FF000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type id="_x0000_t202" coordsize="21600,21600" o:spt="202" path="m,l,21600r21600,l21600,xe" w14:anchorId="69266ED4">
              <v:stroke joinstyle="miter"/>
              <v:path gradientshapeok="t" o:connecttype="rect"/>
            </v:shapetype>
            <v:shape id="Text Box 72"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 - 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AGJG5xMAIAAFQEAAAOAAAAAAAAAAAAAAAAAC4CAABkcnMvZTJv&#10;RG9jLnhtbFBLAQItABQABgAIAAAAIQCEsNMo1gAAAAMBAAAPAAAAAAAAAAAAAAAAAIoEAABkcnMv&#10;ZG93bnJldi54bWxQSwUGAAAAAAQABADzAAAAjQUAAAAA&#10;">
              <v:textbox style="mso-fit-shape-to-text:t" inset="0,0,0,0">
                <w:txbxContent>
                  <w:p w:rsidRPr="009C6E8F" w:rsidR="009C6E8F" w:rsidRDefault="009C6E8F" w14:paraId="6959C347" w14:textId="33A56CE9">
                    <w:pPr>
                      <w:rPr>
                        <w:rFonts w:ascii="Calibri" w:hAnsi="Calibri" w:eastAsia="Calibri" w:cs="Calibri"/>
                        <w:color w:val="FF0000"/>
                        <w:szCs w:val="20"/>
                      </w:rPr>
                    </w:pPr>
                    <w:r w:rsidRPr="009C6E8F">
                      <w:rPr>
                        <w:rFonts w:ascii="Calibri" w:hAnsi="Calibri" w:eastAsia="Calibri" w:cs="Calibri"/>
                        <w:color w:val="FF000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4220"/>
      <w:docPartObj>
        <w:docPartGallery w:val="Page Numbers (Bottom of Page)"/>
        <w:docPartUnique/>
      </w:docPartObj>
    </w:sdtPr>
    <w:sdtEndPr/>
    <w:sdtContent>
      <w:p w14:paraId="760AFE1B" w14:textId="437F0DAC" w:rsidR="00812DDC" w:rsidRDefault="00812DDC">
        <w:pPr>
          <w:pStyle w:val="Footer"/>
          <w:jc w:val="right"/>
        </w:pPr>
        <w:r>
          <w:fldChar w:fldCharType="begin"/>
        </w:r>
        <w:r>
          <w:instrText>PAGE   \* MERGEFORMAT</w:instrText>
        </w:r>
        <w:r>
          <w:fldChar w:fldCharType="separate"/>
        </w:r>
        <w:r>
          <w:t>2</w:t>
        </w:r>
        <w:r>
          <w:fldChar w:fldCharType="end"/>
        </w:r>
      </w:p>
    </w:sdtContent>
  </w:sdt>
  <w:p w14:paraId="10B8C7B7" w14:textId="28636AF9" w:rsidR="009C6E8F" w:rsidRDefault="009C6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CAB6" w14:textId="4450FBAF" w:rsidR="009C6E8F" w:rsidRDefault="009C6E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93961"/>
      <w:docPartObj>
        <w:docPartGallery w:val="Page Numbers (Bottom of Page)"/>
        <w:docPartUnique/>
      </w:docPartObj>
    </w:sdtPr>
    <w:sdtEndPr/>
    <w:sdtContent>
      <w:p w14:paraId="2D806709" w14:textId="64FE7F83" w:rsidR="00812DDC" w:rsidRDefault="00812DDC">
        <w:pPr>
          <w:pStyle w:val="Footer"/>
          <w:jc w:val="right"/>
        </w:pPr>
        <w:r>
          <w:fldChar w:fldCharType="begin"/>
        </w:r>
        <w:r>
          <w:instrText>PAGE   \* MERGEFORMAT</w:instrText>
        </w:r>
        <w:r>
          <w:fldChar w:fldCharType="separate"/>
        </w:r>
        <w:r>
          <w:t>2</w:t>
        </w:r>
        <w:r>
          <w:fldChar w:fldCharType="end"/>
        </w:r>
      </w:p>
    </w:sdtContent>
  </w:sdt>
  <w:p w14:paraId="0FFAAA57" w14:textId="77777777" w:rsidR="00D8145F" w:rsidRDefault="00D81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5DE9" w14:textId="77777777" w:rsidR="0019517E" w:rsidRDefault="0019517E" w:rsidP="009C0940">
      <w:pPr>
        <w:spacing w:after="0"/>
      </w:pPr>
      <w:r>
        <w:separator/>
      </w:r>
    </w:p>
  </w:footnote>
  <w:footnote w:type="continuationSeparator" w:id="0">
    <w:p w14:paraId="1EB32A87" w14:textId="77777777" w:rsidR="0019517E" w:rsidRDefault="0019517E" w:rsidP="009C0940">
      <w:pPr>
        <w:spacing w:after="0"/>
      </w:pPr>
      <w:r>
        <w:continuationSeparator/>
      </w:r>
    </w:p>
  </w:footnote>
  <w:footnote w:id="1">
    <w:p w14:paraId="2386F643" w14:textId="77777777" w:rsidR="004533BA" w:rsidRPr="00321064" w:rsidRDefault="004533BA" w:rsidP="00321064">
      <w:pPr>
        <w:rPr>
          <w:rFonts w:cs="Arial"/>
          <w:sz w:val="16"/>
          <w:szCs w:val="16"/>
        </w:rPr>
      </w:pPr>
      <w:r w:rsidRPr="00F5515C">
        <w:rPr>
          <w:vertAlign w:val="superscript"/>
        </w:rPr>
        <w:footnoteRef/>
      </w:r>
      <w:r w:rsidRPr="00321064">
        <w:rPr>
          <w:rFonts w:cs="Arial"/>
          <w:sz w:val="16"/>
          <w:szCs w:val="16"/>
        </w:rPr>
        <w:t xml:space="preserve"> The NSPCC and Ofsted offer dedicated national whistleblowing hotlines (see </w:t>
      </w:r>
      <w:r w:rsidRPr="00F5515C">
        <w:rPr>
          <w:rFonts w:cs="Arial"/>
          <w:sz w:val="16"/>
          <w:szCs w:val="16"/>
        </w:rPr>
        <w:t>www.nspcc.org.uk</w:t>
      </w:r>
      <w:r w:rsidRPr="00321064">
        <w:rPr>
          <w:rFonts w:cs="Arial"/>
          <w:sz w:val="16"/>
          <w:szCs w:val="16"/>
        </w:rPr>
        <w:t xml:space="preserve"> and </w:t>
      </w:r>
      <w:r w:rsidRPr="00F5515C">
        <w:rPr>
          <w:rFonts w:cs="Arial"/>
          <w:sz w:val="16"/>
          <w:szCs w:val="16"/>
        </w:rPr>
        <w:t>www.gov.uk/government/organisations/ofsted</w:t>
      </w:r>
      <w:r w:rsidRPr="00321064">
        <w:rPr>
          <w:rFonts w:cs="Arial"/>
          <w:sz w:val="16"/>
          <w:szCs w:val="16"/>
        </w:rPr>
        <w:t xml:space="preserve"> for further details).   </w:t>
      </w:r>
    </w:p>
  </w:footnote>
  <w:footnote w:id="2">
    <w:p w14:paraId="0BA2252F" w14:textId="77777777" w:rsidR="004533BA" w:rsidRDefault="004533BA" w:rsidP="00321064">
      <w:r w:rsidRPr="00F5515C">
        <w:rPr>
          <w:vertAlign w:val="superscript"/>
        </w:rPr>
        <w:footnoteRef/>
      </w:r>
      <w:r w:rsidRPr="00321064">
        <w:rPr>
          <w:rFonts w:cs="Arial"/>
          <w:sz w:val="16"/>
          <w:szCs w:val="16"/>
        </w:rPr>
        <w:t xml:space="preserve"> The Department for Business, Innovations and Skills maintains a list of prescribed persons and organisations who may be contacted, </w:t>
      </w:r>
      <w:r w:rsidRPr="00F5515C">
        <w:rPr>
          <w:rFonts w:cs="Arial"/>
          <w:sz w:val="16"/>
          <w:szCs w:val="16"/>
        </w:rPr>
        <w:t>www.gov.uk/government/publications/blowing-the-whistlelist-of-prescribed-people-and-bodies--2/whistleblowing-list-of-prescribed-people-and-bodies</w:t>
      </w:r>
      <w:r w:rsidRPr="00321064">
        <w:rPr>
          <w:rFonts w:cs="Arial"/>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8897" w14:textId="77777777" w:rsidR="00A434AD" w:rsidRPr="00A434AD" w:rsidRDefault="00A434AD" w:rsidP="00A43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6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3608D"/>
    <w:multiLevelType w:val="hybridMultilevel"/>
    <w:tmpl w:val="85742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B71C4"/>
    <w:multiLevelType w:val="hybridMultilevel"/>
    <w:tmpl w:val="9B7C7A6C"/>
    <w:lvl w:ilvl="0" w:tplc="0CA225F4">
      <w:start w:val="1"/>
      <w:numFmt w:val="bullet"/>
      <w:lvlText w:val="•"/>
      <w:lvlJc w:val="left"/>
      <w:pPr>
        <w:ind w:left="14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167A68">
      <w:start w:val="1"/>
      <w:numFmt w:val="bullet"/>
      <w:lvlText w:val="o"/>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9A9AA4">
      <w:start w:val="1"/>
      <w:numFmt w:val="bullet"/>
      <w:lvlText w:val="▪"/>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5A0DE6">
      <w:start w:val="1"/>
      <w:numFmt w:val="bullet"/>
      <w:lvlText w:val="•"/>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4567C56">
      <w:start w:val="1"/>
      <w:numFmt w:val="bullet"/>
      <w:lvlText w:val="o"/>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8CFB3C">
      <w:start w:val="1"/>
      <w:numFmt w:val="bullet"/>
      <w:lvlText w:val="▪"/>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EE6D81E">
      <w:start w:val="1"/>
      <w:numFmt w:val="bullet"/>
      <w:lvlText w:val="•"/>
      <w:lvlJc w:val="left"/>
      <w:pPr>
        <w:ind w:left="5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060C98">
      <w:start w:val="1"/>
      <w:numFmt w:val="bullet"/>
      <w:lvlText w:val="o"/>
      <w:lvlJc w:val="left"/>
      <w:pPr>
        <w:ind w:left="64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D9493C4">
      <w:start w:val="1"/>
      <w:numFmt w:val="bullet"/>
      <w:lvlText w:val="▪"/>
      <w:lvlJc w:val="left"/>
      <w:pPr>
        <w:ind w:left="71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E5078C1"/>
    <w:multiLevelType w:val="multilevel"/>
    <w:tmpl w:val="9FFE5254"/>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4FC69C5"/>
    <w:multiLevelType w:val="multilevel"/>
    <w:tmpl w:val="95043AFC"/>
    <w:lvl w:ilvl="0">
      <w:start w:val="1"/>
      <w:numFmt w:val="decimal"/>
      <w:pStyle w:val="Heading2"/>
      <w:lvlText w:val="%1."/>
      <w:lvlJc w:val="left"/>
      <w:pPr>
        <w:ind w:left="360" w:hanging="360"/>
      </w:pPr>
      <w:rPr>
        <w:rFonts w:ascii="Arial" w:hAnsi="Arial" w:cs="Arial" w:hint="default"/>
        <w:sz w:val="40"/>
        <w:szCs w:val="40"/>
      </w:rPr>
    </w:lvl>
    <w:lvl w:ilvl="1">
      <w:start w:val="1"/>
      <w:numFmt w:val="decimal"/>
      <w:isLgl/>
      <w:lvlText w:val="%1.%2"/>
      <w:lvlJc w:val="left"/>
      <w:pPr>
        <w:ind w:left="720" w:hanging="720"/>
      </w:pPr>
      <w:rPr>
        <w:rFonts w:ascii="Arial" w:eastAsiaTheme="minorHAnsi" w:hAnsi="Arial" w:cstheme="minorBidi" w:hint="default"/>
        <w:b w:val="0"/>
        <w:bCs/>
        <w:color w:val="4A4A49"/>
        <w:sz w:val="22"/>
      </w:rPr>
    </w:lvl>
    <w:lvl w:ilvl="2">
      <w:start w:val="1"/>
      <w:numFmt w:val="decimal"/>
      <w:isLgl/>
      <w:lvlText w:val="%1.%2.%3"/>
      <w:lvlJc w:val="left"/>
      <w:pPr>
        <w:ind w:left="1080" w:hanging="1080"/>
      </w:pPr>
      <w:rPr>
        <w:rFonts w:ascii="Arial" w:eastAsiaTheme="minorHAnsi" w:hAnsi="Arial" w:cstheme="minorBidi" w:hint="default"/>
        <w:color w:val="4A4A49"/>
        <w:sz w:val="22"/>
      </w:rPr>
    </w:lvl>
    <w:lvl w:ilvl="3">
      <w:start w:val="1"/>
      <w:numFmt w:val="decimal"/>
      <w:isLgl/>
      <w:lvlText w:val="%1.%2.%3.%4"/>
      <w:lvlJc w:val="left"/>
      <w:pPr>
        <w:ind w:left="1080" w:hanging="1080"/>
      </w:pPr>
      <w:rPr>
        <w:rFonts w:ascii="Arial" w:eastAsiaTheme="minorHAnsi" w:hAnsi="Arial" w:cstheme="minorBidi" w:hint="default"/>
        <w:color w:val="4A4A49"/>
        <w:sz w:val="22"/>
      </w:rPr>
    </w:lvl>
    <w:lvl w:ilvl="4">
      <w:start w:val="1"/>
      <w:numFmt w:val="decimal"/>
      <w:isLgl/>
      <w:lvlText w:val="%1.%2.%3.%4.%5"/>
      <w:lvlJc w:val="left"/>
      <w:pPr>
        <w:ind w:left="1440" w:hanging="1440"/>
      </w:pPr>
      <w:rPr>
        <w:rFonts w:ascii="Arial" w:eastAsiaTheme="minorHAnsi" w:hAnsi="Arial" w:cstheme="minorBidi" w:hint="default"/>
        <w:color w:val="4A4A49"/>
        <w:sz w:val="22"/>
      </w:rPr>
    </w:lvl>
    <w:lvl w:ilvl="5">
      <w:start w:val="1"/>
      <w:numFmt w:val="decimal"/>
      <w:isLgl/>
      <w:lvlText w:val="%1.%2.%3.%4.%5.%6"/>
      <w:lvlJc w:val="left"/>
      <w:pPr>
        <w:ind w:left="1800" w:hanging="1800"/>
      </w:pPr>
      <w:rPr>
        <w:rFonts w:ascii="Arial" w:eastAsiaTheme="minorHAnsi" w:hAnsi="Arial" w:cstheme="minorBidi" w:hint="default"/>
        <w:color w:val="4A4A49"/>
        <w:sz w:val="22"/>
      </w:rPr>
    </w:lvl>
    <w:lvl w:ilvl="6">
      <w:start w:val="1"/>
      <w:numFmt w:val="decimal"/>
      <w:isLgl/>
      <w:lvlText w:val="%1.%2.%3.%4.%5.%6.%7"/>
      <w:lvlJc w:val="left"/>
      <w:pPr>
        <w:ind w:left="2160" w:hanging="2160"/>
      </w:pPr>
      <w:rPr>
        <w:rFonts w:ascii="Arial" w:eastAsiaTheme="minorHAnsi" w:hAnsi="Arial" w:cstheme="minorBidi" w:hint="default"/>
        <w:color w:val="4A4A49"/>
        <w:sz w:val="22"/>
      </w:rPr>
    </w:lvl>
    <w:lvl w:ilvl="7">
      <w:start w:val="1"/>
      <w:numFmt w:val="decimal"/>
      <w:isLgl/>
      <w:lvlText w:val="%1.%2.%3.%4.%5.%6.%7.%8"/>
      <w:lvlJc w:val="left"/>
      <w:pPr>
        <w:ind w:left="2160" w:hanging="2160"/>
      </w:pPr>
      <w:rPr>
        <w:rFonts w:ascii="Arial" w:eastAsiaTheme="minorHAnsi" w:hAnsi="Arial" w:cstheme="minorBidi" w:hint="default"/>
        <w:color w:val="4A4A49"/>
        <w:sz w:val="22"/>
      </w:rPr>
    </w:lvl>
    <w:lvl w:ilvl="8">
      <w:start w:val="1"/>
      <w:numFmt w:val="decimal"/>
      <w:isLgl/>
      <w:lvlText w:val="%1.%2.%3.%4.%5.%6.%7.%8.%9"/>
      <w:lvlJc w:val="left"/>
      <w:pPr>
        <w:ind w:left="2520" w:hanging="2520"/>
      </w:pPr>
      <w:rPr>
        <w:rFonts w:ascii="Arial" w:eastAsiaTheme="minorHAnsi" w:hAnsi="Arial" w:cstheme="minorBidi" w:hint="default"/>
        <w:color w:val="4A4A49"/>
        <w:sz w:val="22"/>
      </w:rPr>
    </w:lvl>
  </w:abstractNum>
  <w:abstractNum w:abstractNumId="5" w15:restartNumberingAfterBreak="0">
    <w:nsid w:val="3BDC249C"/>
    <w:multiLevelType w:val="hybridMultilevel"/>
    <w:tmpl w:val="49C8D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EA54D8"/>
    <w:multiLevelType w:val="hybridMultilevel"/>
    <w:tmpl w:val="5E6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8132C"/>
    <w:multiLevelType w:val="hybridMultilevel"/>
    <w:tmpl w:val="4E243C24"/>
    <w:lvl w:ilvl="0" w:tplc="AC9EA2AE">
      <w:start w:val="1"/>
      <w:numFmt w:val="bullet"/>
      <w:lvlText w:val="•"/>
      <w:lvlJc w:val="left"/>
      <w:pPr>
        <w:ind w:left="6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3006E08">
      <w:start w:val="1"/>
      <w:numFmt w:val="bullet"/>
      <w:lvlText w:val="o"/>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8E871E0">
      <w:start w:val="1"/>
      <w:numFmt w:val="bullet"/>
      <w:lvlText w:val="▪"/>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116DAD6">
      <w:start w:val="1"/>
      <w:numFmt w:val="bullet"/>
      <w:lvlText w:val="•"/>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303774">
      <w:start w:val="1"/>
      <w:numFmt w:val="bullet"/>
      <w:lvlText w:val="o"/>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9A06A8">
      <w:start w:val="1"/>
      <w:numFmt w:val="bullet"/>
      <w:lvlText w:val="▪"/>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FE43B2">
      <w:start w:val="1"/>
      <w:numFmt w:val="bullet"/>
      <w:lvlText w:val="•"/>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E065F30">
      <w:start w:val="1"/>
      <w:numFmt w:val="bullet"/>
      <w:lvlText w:val="o"/>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909FE6">
      <w:start w:val="1"/>
      <w:numFmt w:val="bullet"/>
      <w:lvlText w:val="▪"/>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FF064B6"/>
    <w:multiLevelType w:val="hybridMultilevel"/>
    <w:tmpl w:val="CA1E9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24EED"/>
    <w:multiLevelType w:val="hybridMultilevel"/>
    <w:tmpl w:val="6388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17FE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5904882"/>
    <w:multiLevelType w:val="hybridMultilevel"/>
    <w:tmpl w:val="E51AAEC2"/>
    <w:lvl w:ilvl="0" w:tplc="F25AEB2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608FCC4">
      <w:start w:val="1"/>
      <w:numFmt w:val="lowerLetter"/>
      <w:lvlText w:val="%2"/>
      <w:lvlJc w:val="left"/>
      <w:pPr>
        <w:ind w:left="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58FB26">
      <w:start w:val="1"/>
      <w:numFmt w:val="lowerLetter"/>
      <w:lvlRestart w:val="0"/>
      <w:lvlText w:val="%3)"/>
      <w:lvlJc w:val="left"/>
      <w:pPr>
        <w:ind w:left="1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A4AE32">
      <w:start w:val="1"/>
      <w:numFmt w:val="decimal"/>
      <w:lvlText w:val="%4"/>
      <w:lvlJc w:val="left"/>
      <w:pPr>
        <w:ind w:left="1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3474A6">
      <w:start w:val="1"/>
      <w:numFmt w:val="lowerLetter"/>
      <w:lvlText w:val="%5"/>
      <w:lvlJc w:val="left"/>
      <w:pPr>
        <w:ind w:left="2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D82FCA">
      <w:start w:val="1"/>
      <w:numFmt w:val="lowerRoman"/>
      <w:lvlText w:val="%6"/>
      <w:lvlJc w:val="left"/>
      <w:pPr>
        <w:ind w:left="3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0A2F9E">
      <w:start w:val="1"/>
      <w:numFmt w:val="decimal"/>
      <w:lvlText w:val="%7"/>
      <w:lvlJc w:val="left"/>
      <w:pPr>
        <w:ind w:left="3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11021A0">
      <w:start w:val="1"/>
      <w:numFmt w:val="lowerLetter"/>
      <w:lvlText w:val="%8"/>
      <w:lvlJc w:val="left"/>
      <w:pPr>
        <w:ind w:left="4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2016F4">
      <w:start w:val="1"/>
      <w:numFmt w:val="lowerRoman"/>
      <w:lvlText w:val="%9"/>
      <w:lvlJc w:val="left"/>
      <w:pPr>
        <w:ind w:left="5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9206FA5"/>
    <w:multiLevelType w:val="hybridMultilevel"/>
    <w:tmpl w:val="B892581E"/>
    <w:lvl w:ilvl="0" w:tplc="E4C4E896">
      <w:start w:val="1"/>
      <w:numFmt w:val="bullet"/>
      <w:lvlText w:val="•"/>
      <w:lvlJc w:val="left"/>
      <w:pPr>
        <w:ind w:left="1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8A3B5C">
      <w:start w:val="1"/>
      <w:numFmt w:val="bullet"/>
      <w:lvlText w:val="o"/>
      <w:lvlJc w:val="left"/>
      <w:pPr>
        <w:ind w:left="1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78EEB4">
      <w:start w:val="1"/>
      <w:numFmt w:val="bullet"/>
      <w:lvlText w:val="▪"/>
      <w:lvlJc w:val="left"/>
      <w:pPr>
        <w:ind w:left="2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06664E">
      <w:start w:val="1"/>
      <w:numFmt w:val="bullet"/>
      <w:lvlText w:val="•"/>
      <w:lvlJc w:val="left"/>
      <w:pPr>
        <w:ind w:left="3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E6A0DA">
      <w:start w:val="1"/>
      <w:numFmt w:val="bullet"/>
      <w:lvlText w:val="o"/>
      <w:lvlJc w:val="left"/>
      <w:pPr>
        <w:ind w:left="3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EED81C">
      <w:start w:val="1"/>
      <w:numFmt w:val="bullet"/>
      <w:lvlText w:val="▪"/>
      <w:lvlJc w:val="left"/>
      <w:pPr>
        <w:ind w:left="4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03A47DE">
      <w:start w:val="1"/>
      <w:numFmt w:val="bullet"/>
      <w:lvlText w:val="•"/>
      <w:lvlJc w:val="left"/>
      <w:pPr>
        <w:ind w:left="5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4C5590">
      <w:start w:val="1"/>
      <w:numFmt w:val="bullet"/>
      <w:lvlText w:val="o"/>
      <w:lvlJc w:val="left"/>
      <w:pPr>
        <w:ind w:left="5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EE41D9C">
      <w:start w:val="1"/>
      <w:numFmt w:val="bullet"/>
      <w:lvlText w:val="▪"/>
      <w:lvlJc w:val="left"/>
      <w:pPr>
        <w:ind w:left="6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BCB505D"/>
    <w:multiLevelType w:val="hybridMultilevel"/>
    <w:tmpl w:val="7AEAE28C"/>
    <w:lvl w:ilvl="0" w:tplc="D80E409E">
      <w:start w:val="1"/>
      <w:numFmt w:val="bullet"/>
      <w:lvlText w:val="•"/>
      <w:lvlJc w:val="left"/>
      <w:pPr>
        <w:ind w:left="14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C442D10">
      <w:start w:val="1"/>
      <w:numFmt w:val="bullet"/>
      <w:lvlText w:val="o"/>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B64B420">
      <w:start w:val="1"/>
      <w:numFmt w:val="bullet"/>
      <w:lvlText w:val="▪"/>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BCE678">
      <w:start w:val="1"/>
      <w:numFmt w:val="bullet"/>
      <w:lvlText w:val="•"/>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122642">
      <w:start w:val="1"/>
      <w:numFmt w:val="bullet"/>
      <w:lvlText w:val="o"/>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2665A58">
      <w:start w:val="1"/>
      <w:numFmt w:val="bullet"/>
      <w:lvlText w:val="▪"/>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8E7F5C">
      <w:start w:val="1"/>
      <w:numFmt w:val="bullet"/>
      <w:lvlText w:val="•"/>
      <w:lvlJc w:val="left"/>
      <w:pPr>
        <w:ind w:left="5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E69EC0">
      <w:start w:val="1"/>
      <w:numFmt w:val="bullet"/>
      <w:lvlText w:val="o"/>
      <w:lvlJc w:val="left"/>
      <w:pPr>
        <w:ind w:left="64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7CB4DC">
      <w:start w:val="1"/>
      <w:numFmt w:val="bullet"/>
      <w:lvlText w:val="▪"/>
      <w:lvlJc w:val="left"/>
      <w:pPr>
        <w:ind w:left="71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D24070E"/>
    <w:multiLevelType w:val="hybridMultilevel"/>
    <w:tmpl w:val="970C0BA0"/>
    <w:lvl w:ilvl="0" w:tplc="08090003">
      <w:start w:val="1"/>
      <w:numFmt w:val="bullet"/>
      <w:lvlText w:val="o"/>
      <w:lvlJc w:val="left"/>
      <w:pPr>
        <w:ind w:left="1402"/>
      </w:pPr>
      <w:rPr>
        <w:rFonts w:ascii="Courier New" w:hAnsi="Courier New" w:cs="Courier New" w:hint="default"/>
        <w:b w:val="0"/>
        <w:i w:val="0"/>
        <w:strike w:val="0"/>
        <w:dstrike w:val="0"/>
        <w:color w:val="000000"/>
        <w:sz w:val="23"/>
        <w:szCs w:val="23"/>
        <w:u w:val="none" w:color="000000"/>
        <w:bdr w:val="none" w:sz="0" w:space="0" w:color="auto"/>
        <w:shd w:val="clear" w:color="auto" w:fill="auto"/>
        <w:vertAlign w:val="baseline"/>
      </w:rPr>
    </w:lvl>
    <w:lvl w:ilvl="1" w:tplc="4C442D10">
      <w:start w:val="1"/>
      <w:numFmt w:val="bullet"/>
      <w:lvlText w:val="o"/>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B64B420">
      <w:start w:val="1"/>
      <w:numFmt w:val="bullet"/>
      <w:lvlText w:val="▪"/>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BCE678">
      <w:start w:val="1"/>
      <w:numFmt w:val="bullet"/>
      <w:lvlText w:val="•"/>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122642">
      <w:start w:val="1"/>
      <w:numFmt w:val="bullet"/>
      <w:lvlText w:val="o"/>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2665A58">
      <w:start w:val="1"/>
      <w:numFmt w:val="bullet"/>
      <w:lvlText w:val="▪"/>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8E7F5C">
      <w:start w:val="1"/>
      <w:numFmt w:val="bullet"/>
      <w:lvlText w:val="•"/>
      <w:lvlJc w:val="left"/>
      <w:pPr>
        <w:ind w:left="5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E69EC0">
      <w:start w:val="1"/>
      <w:numFmt w:val="bullet"/>
      <w:lvlText w:val="o"/>
      <w:lvlJc w:val="left"/>
      <w:pPr>
        <w:ind w:left="64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7CB4DC">
      <w:start w:val="1"/>
      <w:numFmt w:val="bullet"/>
      <w:lvlText w:val="▪"/>
      <w:lvlJc w:val="left"/>
      <w:pPr>
        <w:ind w:left="71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FD41F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0705B"/>
    <w:multiLevelType w:val="multilevel"/>
    <w:tmpl w:val="4E707778"/>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12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6CF8444C"/>
    <w:multiLevelType w:val="hybridMultilevel"/>
    <w:tmpl w:val="C6262A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C6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9D75A1"/>
    <w:multiLevelType w:val="hybridMultilevel"/>
    <w:tmpl w:val="E490E91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2459EC"/>
    <w:multiLevelType w:val="multilevel"/>
    <w:tmpl w:val="DDE43746"/>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6"/>
  </w:num>
  <w:num w:numId="2">
    <w:abstractNumId w:val="7"/>
  </w:num>
  <w:num w:numId="3">
    <w:abstractNumId w:val="11"/>
  </w:num>
  <w:num w:numId="4">
    <w:abstractNumId w:val="16"/>
  </w:num>
  <w:num w:numId="5">
    <w:abstractNumId w:val="12"/>
  </w:num>
  <w:num w:numId="6">
    <w:abstractNumId w:val="4"/>
  </w:num>
  <w:num w:numId="7">
    <w:abstractNumId w:val="10"/>
  </w:num>
  <w:num w:numId="8">
    <w:abstractNumId w:val="18"/>
  </w:num>
  <w:num w:numId="9">
    <w:abstractNumId w:val="0"/>
  </w:num>
  <w:num w:numId="10">
    <w:abstractNumId w:val="15"/>
  </w:num>
  <w:num w:numId="11">
    <w:abstractNumId w:val="15"/>
    <w:lvlOverride w:ilvl="0">
      <w:startOverride w:val="1"/>
    </w:lvlOverride>
  </w:num>
  <w:num w:numId="12">
    <w:abstractNumId w:val="1"/>
  </w:num>
  <w:num w:numId="13">
    <w:abstractNumId w:val="8"/>
  </w:num>
  <w:num w:numId="14">
    <w:abstractNumId w:val="9"/>
  </w:num>
  <w:num w:numId="15">
    <w:abstractNumId w:val="17"/>
  </w:num>
  <w:num w:numId="16">
    <w:abstractNumId w:val="2"/>
  </w:num>
  <w:num w:numId="17">
    <w:abstractNumId w:val="3"/>
  </w:num>
  <w:num w:numId="18">
    <w:abstractNumId w:val="13"/>
  </w:num>
  <w:num w:numId="19">
    <w:abstractNumId w:val="20"/>
  </w:num>
  <w:num w:numId="20">
    <w:abstractNumId w:val="4"/>
  </w:num>
  <w:num w:numId="21">
    <w:abstractNumId w:val="4"/>
  </w:num>
  <w:num w:numId="22">
    <w:abstractNumId w:val="4"/>
  </w:num>
  <w:num w:numId="23">
    <w:abstractNumId w:val="5"/>
  </w:num>
  <w:num w:numId="24">
    <w:abstractNumId w:val="4"/>
  </w:num>
  <w:num w:numId="25">
    <w:abstractNumId w:val="19"/>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4"/>
  </w:num>
  <w:num w:numId="38">
    <w:abstractNumId w:val="4"/>
  </w:num>
  <w:num w:numId="39">
    <w:abstractNumId w:val="4"/>
  </w:num>
  <w:num w:numId="40">
    <w:abstractNumId w:val="4"/>
  </w:num>
  <w:num w:numId="41">
    <w:abstractNumId w:val="4"/>
  </w:num>
  <w:num w:numId="4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E8"/>
    <w:rsid w:val="00053AD3"/>
    <w:rsid w:val="00061ADD"/>
    <w:rsid w:val="000672E4"/>
    <w:rsid w:val="0007244D"/>
    <w:rsid w:val="00092C14"/>
    <w:rsid w:val="000A21B1"/>
    <w:rsid w:val="000B0D23"/>
    <w:rsid w:val="000D61CF"/>
    <w:rsid w:val="000F4A21"/>
    <w:rsid w:val="001150B2"/>
    <w:rsid w:val="001534DD"/>
    <w:rsid w:val="0019517E"/>
    <w:rsid w:val="00255EAA"/>
    <w:rsid w:val="002730AC"/>
    <w:rsid w:val="00277F98"/>
    <w:rsid w:val="002F2106"/>
    <w:rsid w:val="003120FC"/>
    <w:rsid w:val="00313557"/>
    <w:rsid w:val="00321064"/>
    <w:rsid w:val="00343E99"/>
    <w:rsid w:val="00352B87"/>
    <w:rsid w:val="003602EB"/>
    <w:rsid w:val="00382CED"/>
    <w:rsid w:val="003C3F70"/>
    <w:rsid w:val="003E1FD9"/>
    <w:rsid w:val="004446FA"/>
    <w:rsid w:val="00452E06"/>
    <w:rsid w:val="004533BA"/>
    <w:rsid w:val="0048205F"/>
    <w:rsid w:val="0049587D"/>
    <w:rsid w:val="004A09CE"/>
    <w:rsid w:val="004A3144"/>
    <w:rsid w:val="004A4B67"/>
    <w:rsid w:val="00504426"/>
    <w:rsid w:val="0051175C"/>
    <w:rsid w:val="005319D6"/>
    <w:rsid w:val="0055079D"/>
    <w:rsid w:val="00552377"/>
    <w:rsid w:val="0057381E"/>
    <w:rsid w:val="005C75FA"/>
    <w:rsid w:val="005D36B6"/>
    <w:rsid w:val="00601A14"/>
    <w:rsid w:val="006368FE"/>
    <w:rsid w:val="00637BFD"/>
    <w:rsid w:val="006462AA"/>
    <w:rsid w:val="006C4755"/>
    <w:rsid w:val="006D320D"/>
    <w:rsid w:val="00742DE0"/>
    <w:rsid w:val="00792475"/>
    <w:rsid w:val="007B4755"/>
    <w:rsid w:val="007C0413"/>
    <w:rsid w:val="007F3E09"/>
    <w:rsid w:val="00812D87"/>
    <w:rsid w:val="00812DDC"/>
    <w:rsid w:val="008C5511"/>
    <w:rsid w:val="008E6A6D"/>
    <w:rsid w:val="008E6FB4"/>
    <w:rsid w:val="00906240"/>
    <w:rsid w:val="00924A74"/>
    <w:rsid w:val="0093582B"/>
    <w:rsid w:val="009750A1"/>
    <w:rsid w:val="00991A31"/>
    <w:rsid w:val="009B233A"/>
    <w:rsid w:val="009C0940"/>
    <w:rsid w:val="009C6E8F"/>
    <w:rsid w:val="009E6D35"/>
    <w:rsid w:val="00A07DC2"/>
    <w:rsid w:val="00A117E8"/>
    <w:rsid w:val="00A32EAF"/>
    <w:rsid w:val="00A434AD"/>
    <w:rsid w:val="00A63DC0"/>
    <w:rsid w:val="00A66B55"/>
    <w:rsid w:val="00AB15A8"/>
    <w:rsid w:val="00AB3465"/>
    <w:rsid w:val="00AC219A"/>
    <w:rsid w:val="00AC4D94"/>
    <w:rsid w:val="00AD0A0B"/>
    <w:rsid w:val="00B376A6"/>
    <w:rsid w:val="00B45B9A"/>
    <w:rsid w:val="00B76129"/>
    <w:rsid w:val="00B82770"/>
    <w:rsid w:val="00B8286B"/>
    <w:rsid w:val="00B82A2C"/>
    <w:rsid w:val="00BF0A75"/>
    <w:rsid w:val="00C96292"/>
    <w:rsid w:val="00CA211C"/>
    <w:rsid w:val="00CE006E"/>
    <w:rsid w:val="00CE631F"/>
    <w:rsid w:val="00D10DC0"/>
    <w:rsid w:val="00D377F8"/>
    <w:rsid w:val="00D71B87"/>
    <w:rsid w:val="00D775B5"/>
    <w:rsid w:val="00D8145F"/>
    <w:rsid w:val="00DA63B3"/>
    <w:rsid w:val="00DB10BA"/>
    <w:rsid w:val="00DC3A35"/>
    <w:rsid w:val="00DD54C6"/>
    <w:rsid w:val="00E12F99"/>
    <w:rsid w:val="00E41BAC"/>
    <w:rsid w:val="00E76AFF"/>
    <w:rsid w:val="00E901F3"/>
    <w:rsid w:val="00EB62F7"/>
    <w:rsid w:val="00F50CB6"/>
    <w:rsid w:val="00F5515C"/>
    <w:rsid w:val="00FC2DEA"/>
    <w:rsid w:val="00FF36B8"/>
    <w:rsid w:val="00FF7782"/>
    <w:rsid w:val="06127001"/>
    <w:rsid w:val="0C23A9E3"/>
    <w:rsid w:val="0DF5BD05"/>
    <w:rsid w:val="0ED52851"/>
    <w:rsid w:val="1FAE0BA4"/>
    <w:rsid w:val="2B9EE57B"/>
    <w:rsid w:val="3085F692"/>
    <w:rsid w:val="370FCD15"/>
    <w:rsid w:val="387707F3"/>
    <w:rsid w:val="39E16415"/>
    <w:rsid w:val="7AED898B"/>
    <w:rsid w:val="7F3C1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787A"/>
  <w15:chartTrackingRefBased/>
  <w15:docId w15:val="{9C9B5A56-0881-41E0-8A1F-8F1663A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BA"/>
    <w:pPr>
      <w:spacing w:after="120" w:line="240" w:lineRule="auto"/>
      <w:ind w:right="170"/>
      <w:jc w:val="both"/>
    </w:pPr>
    <w:rPr>
      <w:rFonts w:ascii="Arial" w:hAnsi="Arial"/>
      <w:color w:val="4A4A49"/>
    </w:rPr>
  </w:style>
  <w:style w:type="paragraph" w:styleId="Heading1">
    <w:name w:val="heading 1"/>
    <w:aliases w:val="Newsletter Heading"/>
    <w:basedOn w:val="Normal"/>
    <w:next w:val="Normal"/>
    <w:link w:val="Heading1Char"/>
    <w:autoRedefine/>
    <w:uiPriority w:val="9"/>
    <w:qFormat/>
    <w:rsid w:val="006462AA"/>
    <w:pPr>
      <w:keepNext/>
      <w:keepLines/>
      <w:tabs>
        <w:tab w:val="center" w:pos="3263"/>
      </w:tabs>
      <w:spacing w:before="120" w:after="0"/>
      <w:ind w:left="-15"/>
      <w:outlineLvl w:val="0"/>
    </w:pPr>
    <w:rPr>
      <w:rFonts w:eastAsiaTheme="majorEastAsia" w:cs="Arial"/>
      <w:b/>
      <w:color w:val="ED7D31" w:themeColor="accent2"/>
      <w:sz w:val="40"/>
      <w:szCs w:val="40"/>
    </w:rPr>
  </w:style>
  <w:style w:type="paragraph" w:styleId="Heading2">
    <w:name w:val="heading 2"/>
    <w:basedOn w:val="Normal"/>
    <w:next w:val="Normal"/>
    <w:link w:val="Heading2Char"/>
    <w:uiPriority w:val="9"/>
    <w:unhideWhenUsed/>
    <w:qFormat/>
    <w:rsid w:val="004533BA"/>
    <w:pPr>
      <w:keepNext/>
      <w:keepLines/>
      <w:numPr>
        <w:numId w:val="20"/>
      </w:numPr>
      <w:spacing w:before="40" w:after="0"/>
      <w:outlineLvl w:val="1"/>
    </w:pPr>
    <w:rPr>
      <w:rFonts w:ascii="Arial Black" w:eastAsiaTheme="majorEastAsia" w:hAnsi="Arial Black" w:cstheme="majorBidi"/>
      <w:b/>
      <w:color w:val="F58220"/>
      <w:sz w:val="28"/>
      <w:szCs w:val="26"/>
    </w:rPr>
  </w:style>
  <w:style w:type="paragraph" w:styleId="Heading3">
    <w:name w:val="heading 3"/>
    <w:basedOn w:val="Normal"/>
    <w:next w:val="Normal"/>
    <w:link w:val="Heading3Char"/>
    <w:uiPriority w:val="9"/>
    <w:unhideWhenUsed/>
    <w:qFormat/>
    <w:rsid w:val="00FC2DEA"/>
    <w:pPr>
      <w:keepNext/>
      <w:keepLines/>
      <w:spacing w:before="160"/>
      <w:outlineLvl w:val="2"/>
    </w:pPr>
    <w:rPr>
      <w:rFonts w:eastAsiaTheme="majorEastAsia"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ewsletter Heading Char"/>
    <w:basedOn w:val="DefaultParagraphFont"/>
    <w:link w:val="Heading1"/>
    <w:uiPriority w:val="9"/>
    <w:rsid w:val="006462AA"/>
    <w:rPr>
      <w:rFonts w:ascii="Arial" w:eastAsiaTheme="majorEastAsia" w:hAnsi="Arial" w:cs="Arial"/>
      <w:b/>
      <w:color w:val="ED7D31" w:themeColor="accent2"/>
      <w:sz w:val="40"/>
      <w:szCs w:val="40"/>
    </w:rPr>
  </w:style>
  <w:style w:type="paragraph" w:styleId="NoSpacing">
    <w:name w:val="No Spacing"/>
    <w:link w:val="NoSpacingChar"/>
    <w:uiPriority w:val="1"/>
    <w:qFormat/>
    <w:rsid w:val="00A117E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17E8"/>
    <w:rPr>
      <w:rFonts w:eastAsiaTheme="minorEastAsia"/>
      <w:lang w:val="en-US"/>
    </w:rPr>
  </w:style>
  <w:style w:type="paragraph" w:customStyle="1" w:styleId="PolicyTitle">
    <w:name w:val="Policy Title"/>
    <w:basedOn w:val="Heading1"/>
    <w:qFormat/>
    <w:rsid w:val="00A117E8"/>
    <w:rPr>
      <w:color w:val="auto"/>
      <w:sz w:val="56"/>
      <w:szCs w:val="72"/>
    </w:rPr>
  </w:style>
  <w:style w:type="paragraph" w:styleId="NormalWeb">
    <w:name w:val="Normal (Web)"/>
    <w:basedOn w:val="Normal"/>
    <w:uiPriority w:val="99"/>
    <w:unhideWhenUsed/>
    <w:rsid w:val="00A117E8"/>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54C6"/>
    <w:rPr>
      <w:color w:val="0563C1" w:themeColor="hyperlink"/>
      <w:u w:val="single"/>
    </w:rPr>
  </w:style>
  <w:style w:type="paragraph" w:customStyle="1" w:styleId="PolicySubheading">
    <w:name w:val="Policy Subheading"/>
    <w:basedOn w:val="NoSpacing"/>
    <w:qFormat/>
    <w:rsid w:val="00382CED"/>
    <w:pPr>
      <w:spacing w:before="40" w:after="40"/>
      <w:ind w:left="-1418"/>
    </w:pPr>
    <w:rPr>
      <w:rFonts w:ascii="Arial" w:hAnsi="Arial"/>
      <w:b/>
      <w:sz w:val="32"/>
      <w:szCs w:val="24"/>
    </w:rPr>
  </w:style>
  <w:style w:type="paragraph" w:customStyle="1" w:styleId="PolicyHeadinginbody">
    <w:name w:val="Policy Heading in body"/>
    <w:basedOn w:val="Normal"/>
    <w:qFormat/>
    <w:rsid w:val="007C0413"/>
    <w:pPr>
      <w:spacing w:after="240"/>
    </w:pPr>
    <w:rPr>
      <w:rFonts w:ascii="Arial Black" w:eastAsiaTheme="majorEastAsia" w:hAnsi="Arial Black" w:cstheme="majorBidi"/>
      <w:color w:val="191919" w:themeColor="text1" w:themeTint="E6"/>
      <w:sz w:val="28"/>
      <w:szCs w:val="36"/>
    </w:rPr>
  </w:style>
  <w:style w:type="paragraph" w:styleId="Header">
    <w:name w:val="header"/>
    <w:basedOn w:val="Normal"/>
    <w:link w:val="HeaderChar"/>
    <w:uiPriority w:val="99"/>
    <w:unhideWhenUsed/>
    <w:rsid w:val="009C0940"/>
    <w:pPr>
      <w:tabs>
        <w:tab w:val="center" w:pos="4513"/>
        <w:tab w:val="right" w:pos="9026"/>
      </w:tabs>
      <w:spacing w:after="0"/>
    </w:pPr>
  </w:style>
  <w:style w:type="character" w:customStyle="1" w:styleId="HeaderChar">
    <w:name w:val="Header Char"/>
    <w:basedOn w:val="DefaultParagraphFont"/>
    <w:link w:val="Header"/>
    <w:uiPriority w:val="99"/>
    <w:rsid w:val="009C0940"/>
    <w:rPr>
      <w:rFonts w:ascii="Arial" w:hAnsi="Arial"/>
      <w:sz w:val="20"/>
    </w:rPr>
  </w:style>
  <w:style w:type="paragraph" w:styleId="Footer">
    <w:name w:val="footer"/>
    <w:basedOn w:val="Normal"/>
    <w:link w:val="FooterChar"/>
    <w:uiPriority w:val="99"/>
    <w:unhideWhenUsed/>
    <w:rsid w:val="009C0940"/>
    <w:pPr>
      <w:tabs>
        <w:tab w:val="center" w:pos="4513"/>
        <w:tab w:val="right" w:pos="9026"/>
      </w:tabs>
      <w:spacing w:after="0"/>
    </w:pPr>
  </w:style>
  <w:style w:type="character" w:customStyle="1" w:styleId="FooterChar">
    <w:name w:val="Footer Char"/>
    <w:basedOn w:val="DefaultParagraphFont"/>
    <w:link w:val="Footer"/>
    <w:uiPriority w:val="99"/>
    <w:rsid w:val="009C0940"/>
    <w:rPr>
      <w:rFonts w:ascii="Arial" w:hAnsi="Arial"/>
      <w:sz w:val="20"/>
    </w:rPr>
  </w:style>
  <w:style w:type="table" w:styleId="TableGrid">
    <w:name w:val="Table Grid"/>
    <w:basedOn w:val="TableNormal"/>
    <w:uiPriority w:val="39"/>
    <w:rsid w:val="00924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FF7782"/>
    <w:pPr>
      <w:spacing w:after="0" w:line="288" w:lineRule="auto"/>
      <w:ind w:right="0"/>
    </w:pPr>
    <w:rPr>
      <w:rFonts w:ascii="Times New Roman" w:eastAsia="Times New Roman" w:hAnsi="Times New Roman" w:cs="Times New Roman"/>
      <w:color w:val="000000"/>
      <w:kern w:val="28"/>
      <w:sz w:val="24"/>
      <w:szCs w:val="24"/>
      <w:lang w:eastAsia="en-GB"/>
      <w14:ligatures w14:val="standard"/>
      <w14:cntxtAlts/>
    </w:rPr>
  </w:style>
  <w:style w:type="character" w:styleId="UnresolvedMention">
    <w:name w:val="Unresolved Mention"/>
    <w:basedOn w:val="DefaultParagraphFont"/>
    <w:uiPriority w:val="99"/>
    <w:semiHidden/>
    <w:unhideWhenUsed/>
    <w:rsid w:val="00A32EAF"/>
    <w:rPr>
      <w:color w:val="605E5C"/>
      <w:shd w:val="clear" w:color="auto" w:fill="E1DFDD"/>
    </w:rPr>
  </w:style>
  <w:style w:type="paragraph" w:styleId="ListParagraph">
    <w:name w:val="List Paragraph"/>
    <w:basedOn w:val="Normal"/>
    <w:uiPriority w:val="34"/>
    <w:qFormat/>
    <w:rsid w:val="00452E06"/>
    <w:pPr>
      <w:ind w:left="720"/>
      <w:contextualSpacing/>
    </w:pPr>
  </w:style>
  <w:style w:type="paragraph" w:customStyle="1" w:styleId="footnotedescription">
    <w:name w:val="footnote description"/>
    <w:next w:val="Normal"/>
    <w:link w:val="footnotedescriptionChar"/>
    <w:hidden/>
    <w:rsid w:val="004533BA"/>
    <w:pPr>
      <w:spacing w:after="0"/>
    </w:pPr>
    <w:rPr>
      <w:rFonts w:ascii="Times New Roman" w:eastAsia="Times New Roman" w:hAnsi="Times New Roman" w:cs="Times New Roman"/>
      <w:color w:val="000000"/>
      <w:sz w:val="19"/>
      <w:lang w:eastAsia="en-GB"/>
    </w:rPr>
  </w:style>
  <w:style w:type="character" w:customStyle="1" w:styleId="footnotedescriptionChar">
    <w:name w:val="footnote description Char"/>
    <w:link w:val="footnotedescription"/>
    <w:rsid w:val="004533BA"/>
    <w:rPr>
      <w:rFonts w:ascii="Times New Roman" w:eastAsia="Times New Roman" w:hAnsi="Times New Roman" w:cs="Times New Roman"/>
      <w:color w:val="000000"/>
      <w:sz w:val="19"/>
      <w:lang w:eastAsia="en-GB"/>
    </w:rPr>
  </w:style>
  <w:style w:type="character" w:customStyle="1" w:styleId="footnotemark">
    <w:name w:val="footnote mark"/>
    <w:hidden/>
    <w:rsid w:val="004533BA"/>
    <w:rPr>
      <w:rFonts w:ascii="Times New Roman" w:eastAsia="Times New Roman" w:hAnsi="Times New Roman" w:cs="Times New Roman"/>
      <w:color w:val="000000"/>
      <w:sz w:val="19"/>
      <w:vertAlign w:val="superscript"/>
    </w:rPr>
  </w:style>
  <w:style w:type="paragraph" w:styleId="TOCHeading">
    <w:name w:val="TOC Heading"/>
    <w:basedOn w:val="Heading1"/>
    <w:next w:val="Normal"/>
    <w:uiPriority w:val="39"/>
    <w:unhideWhenUsed/>
    <w:qFormat/>
    <w:rsid w:val="004533BA"/>
    <w:pPr>
      <w:spacing w:before="240" w:line="259" w:lineRule="auto"/>
      <w:ind w:left="0" w:right="0"/>
      <w:outlineLvl w:val="9"/>
    </w:pPr>
    <w:rPr>
      <w:rFonts w:asciiTheme="majorHAnsi" w:hAnsiTheme="majorHAnsi"/>
      <w:b w:val="0"/>
      <w:color w:val="2E74B5" w:themeColor="accent1" w:themeShade="BF"/>
      <w:lang w:eastAsia="en-GB"/>
    </w:rPr>
  </w:style>
  <w:style w:type="paragraph" w:styleId="TOC1">
    <w:name w:val="toc 1"/>
    <w:basedOn w:val="Normal"/>
    <w:next w:val="Normal"/>
    <w:autoRedefine/>
    <w:uiPriority w:val="39"/>
    <w:unhideWhenUsed/>
    <w:rsid w:val="004533BA"/>
    <w:pPr>
      <w:spacing w:after="100"/>
    </w:pPr>
  </w:style>
  <w:style w:type="character" w:customStyle="1" w:styleId="Heading2Char">
    <w:name w:val="Heading 2 Char"/>
    <w:basedOn w:val="DefaultParagraphFont"/>
    <w:link w:val="Heading2"/>
    <w:uiPriority w:val="9"/>
    <w:rsid w:val="004533BA"/>
    <w:rPr>
      <w:rFonts w:ascii="Arial Black" w:eastAsiaTheme="majorEastAsia" w:hAnsi="Arial Black" w:cstheme="majorBidi"/>
      <w:b/>
      <w:color w:val="F58220"/>
      <w:sz w:val="28"/>
      <w:szCs w:val="26"/>
    </w:rPr>
  </w:style>
  <w:style w:type="paragraph" w:styleId="TOC2">
    <w:name w:val="toc 2"/>
    <w:basedOn w:val="Normal"/>
    <w:next w:val="Normal"/>
    <w:autoRedefine/>
    <w:uiPriority w:val="39"/>
    <w:unhideWhenUsed/>
    <w:rsid w:val="005319D6"/>
    <w:pPr>
      <w:spacing w:after="100"/>
      <w:ind w:left="220"/>
    </w:pPr>
  </w:style>
  <w:style w:type="character" w:customStyle="1" w:styleId="Heading3Char">
    <w:name w:val="Heading 3 Char"/>
    <w:basedOn w:val="DefaultParagraphFont"/>
    <w:link w:val="Heading3"/>
    <w:uiPriority w:val="9"/>
    <w:rsid w:val="00FC2DEA"/>
    <w:rPr>
      <w:rFonts w:ascii="Arial" w:eastAsiaTheme="majorEastAsia" w:hAnsi="Arial" w:cstheme="majorBidi"/>
      <w:b/>
      <w:color w:val="1F4D78" w:themeColor="accent1" w:themeShade="7F"/>
      <w:sz w:val="24"/>
      <w:szCs w:val="24"/>
    </w:rPr>
  </w:style>
  <w:style w:type="paragraph" w:styleId="TOC3">
    <w:name w:val="toc 3"/>
    <w:basedOn w:val="Normal"/>
    <w:next w:val="Normal"/>
    <w:autoRedefine/>
    <w:uiPriority w:val="39"/>
    <w:unhideWhenUsed/>
    <w:rsid w:val="00FC2DEA"/>
    <w:pPr>
      <w:spacing w:after="100"/>
      <w:ind w:left="440"/>
    </w:pPr>
  </w:style>
  <w:style w:type="character" w:styleId="FollowedHyperlink">
    <w:name w:val="FollowedHyperlink"/>
    <w:basedOn w:val="DefaultParagraphFont"/>
    <w:uiPriority w:val="99"/>
    <w:semiHidden/>
    <w:unhideWhenUsed/>
    <w:rsid w:val="00053AD3"/>
    <w:rPr>
      <w:color w:val="954F72" w:themeColor="followedHyperlink"/>
      <w:u w:val="single"/>
    </w:rPr>
  </w:style>
  <w:style w:type="character" w:styleId="CommentReference">
    <w:name w:val="annotation reference"/>
    <w:basedOn w:val="DefaultParagraphFont"/>
    <w:uiPriority w:val="99"/>
    <w:semiHidden/>
    <w:unhideWhenUsed/>
    <w:rsid w:val="00F50CB6"/>
    <w:rPr>
      <w:sz w:val="16"/>
      <w:szCs w:val="16"/>
    </w:rPr>
  </w:style>
  <w:style w:type="paragraph" w:styleId="CommentText">
    <w:name w:val="annotation text"/>
    <w:basedOn w:val="Normal"/>
    <w:link w:val="CommentTextChar"/>
    <w:uiPriority w:val="99"/>
    <w:semiHidden/>
    <w:unhideWhenUsed/>
    <w:rsid w:val="00F50CB6"/>
    <w:rPr>
      <w:sz w:val="20"/>
      <w:szCs w:val="20"/>
    </w:rPr>
  </w:style>
  <w:style w:type="character" w:customStyle="1" w:styleId="CommentTextChar">
    <w:name w:val="Comment Text Char"/>
    <w:basedOn w:val="DefaultParagraphFont"/>
    <w:link w:val="CommentText"/>
    <w:uiPriority w:val="99"/>
    <w:semiHidden/>
    <w:rsid w:val="00F50CB6"/>
    <w:rPr>
      <w:rFonts w:ascii="Arial" w:hAnsi="Arial"/>
      <w:color w:val="4A4A49"/>
      <w:sz w:val="20"/>
      <w:szCs w:val="20"/>
    </w:rPr>
  </w:style>
  <w:style w:type="paragraph" w:styleId="CommentSubject">
    <w:name w:val="annotation subject"/>
    <w:basedOn w:val="CommentText"/>
    <w:next w:val="CommentText"/>
    <w:link w:val="CommentSubjectChar"/>
    <w:uiPriority w:val="99"/>
    <w:semiHidden/>
    <w:unhideWhenUsed/>
    <w:rsid w:val="00F50CB6"/>
    <w:rPr>
      <w:b/>
      <w:bCs/>
    </w:rPr>
  </w:style>
  <w:style w:type="character" w:customStyle="1" w:styleId="CommentSubjectChar">
    <w:name w:val="Comment Subject Char"/>
    <w:basedOn w:val="CommentTextChar"/>
    <w:link w:val="CommentSubject"/>
    <w:uiPriority w:val="99"/>
    <w:semiHidden/>
    <w:rsid w:val="00F50CB6"/>
    <w:rPr>
      <w:rFonts w:ascii="Arial" w:hAnsi="Arial"/>
      <w:b/>
      <w:bCs/>
      <w:color w:val="4A4A49"/>
      <w:sz w:val="20"/>
      <w:szCs w:val="20"/>
    </w:rPr>
  </w:style>
  <w:style w:type="paragraph" w:styleId="Title">
    <w:name w:val="Title"/>
    <w:basedOn w:val="Normal"/>
    <w:next w:val="Normal"/>
    <w:link w:val="TitleChar"/>
    <w:uiPriority w:val="10"/>
    <w:qFormat/>
    <w:rsid w:val="00343E99"/>
    <w:pPr>
      <w:spacing w:before="720" w:after="200" w:line="276" w:lineRule="auto"/>
      <w:ind w:right="0"/>
      <w:jc w:val="left"/>
    </w:pPr>
    <w:rPr>
      <w:rFonts w:ascii="Calibri" w:eastAsia="Times New Roman" w:hAnsi="Calibri" w:cs="Times New Roman"/>
      <w:caps/>
      <w:color w:val="4F81BD"/>
      <w:spacing w:val="10"/>
      <w:kern w:val="28"/>
      <w:sz w:val="52"/>
      <w:szCs w:val="52"/>
    </w:rPr>
  </w:style>
  <w:style w:type="character" w:customStyle="1" w:styleId="TitleChar">
    <w:name w:val="Title Char"/>
    <w:basedOn w:val="DefaultParagraphFont"/>
    <w:link w:val="Title"/>
    <w:uiPriority w:val="10"/>
    <w:rsid w:val="00343E99"/>
    <w:rPr>
      <w:rFonts w:ascii="Calibri" w:eastAsia="Times New Roman" w:hAnsi="Calibri" w:cs="Times New Roman"/>
      <w:caps/>
      <w:color w:val="4F81BD"/>
      <w:spacing w:val="10"/>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37405">
      <w:bodyDiv w:val="1"/>
      <w:marLeft w:val="0"/>
      <w:marRight w:val="0"/>
      <w:marTop w:val="0"/>
      <w:marBottom w:val="0"/>
      <w:divBdr>
        <w:top w:val="none" w:sz="0" w:space="0" w:color="auto"/>
        <w:left w:val="none" w:sz="0" w:space="0" w:color="auto"/>
        <w:bottom w:val="none" w:sz="0" w:space="0" w:color="auto"/>
        <w:right w:val="none" w:sz="0" w:space="0" w:color="auto"/>
      </w:divBdr>
    </w:div>
    <w:div w:id="1710376022">
      <w:bodyDiv w:val="1"/>
      <w:marLeft w:val="0"/>
      <w:marRight w:val="0"/>
      <w:marTop w:val="0"/>
      <w:marBottom w:val="0"/>
      <w:divBdr>
        <w:top w:val="none" w:sz="0" w:space="0" w:color="auto"/>
        <w:left w:val="none" w:sz="0" w:space="0" w:color="auto"/>
        <w:bottom w:val="none" w:sz="0" w:space="0" w:color="auto"/>
        <w:right w:val="none" w:sz="0" w:space="0" w:color="auto"/>
      </w:divBdr>
    </w:div>
    <w:div w:id="19909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tect-advice.org.uk"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tect-advic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SharedWithUsers xmlns="4633cc5c-b56f-4c47-be62-75d74a7f1e0b">
      <UserInfo>
        <DisplayName>Bethany Reilly</DisplayName>
        <AccountId>1495</AccountId>
        <AccountType/>
      </UserInfo>
      <UserInfo>
        <DisplayName>Ali Wilson</DisplayName>
        <AccountId>1135</AccountId>
        <AccountType/>
      </UserInfo>
      <UserInfo>
        <DisplayName>Amy Douglas</DisplayName>
        <AccountId>1156</AccountId>
        <AccountType/>
      </UserInfo>
      <UserInfo>
        <DisplayName>Brian Richardson</DisplayName>
        <AccountId>1800</AccountId>
        <AccountType/>
      </UserInfo>
      <UserInfo>
        <DisplayName>Amy Blackburn</DisplayName>
        <AccountId>1712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3" ma:contentTypeDescription="Create a new document." ma:contentTypeScope="" ma:versionID="b68f81ca34a7d18b6c2e7ec597e5a42c">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6cab5b4a5a10f8c2ad7b2044ccb8c58"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176CD-0C3B-4C7A-9D50-440F92AB3D92}">
  <ds:schemaRefs>
    <ds:schemaRef ds:uri="http://schemas.openxmlformats.org/officeDocument/2006/bibliography"/>
  </ds:schemaRefs>
</ds:datastoreItem>
</file>

<file path=customXml/itemProps2.xml><?xml version="1.0" encoding="utf-8"?>
<ds:datastoreItem xmlns:ds="http://schemas.openxmlformats.org/officeDocument/2006/customXml" ds:itemID="{1A35CA78-202A-414C-8C49-EC560C2FC358}">
  <ds:schemaRefs>
    <ds:schemaRef ds:uri="http://schemas.microsoft.com/sharepoint/v3/contenttype/forms"/>
  </ds:schemaRefs>
</ds:datastoreItem>
</file>

<file path=customXml/itemProps3.xml><?xml version="1.0" encoding="utf-8"?>
<ds:datastoreItem xmlns:ds="http://schemas.openxmlformats.org/officeDocument/2006/customXml" ds:itemID="{E9409CB7-775E-4B64-8D6C-C0F77B27CFA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40f3a15-1695-41d1-9586-d4845052a24f"/>
    <ds:schemaRef ds:uri="http://schemas.microsoft.com/office/infopath/2007/PartnerControls"/>
    <ds:schemaRef ds:uri="4633cc5c-b56f-4c47-be62-75d74a7f1e0b"/>
    <ds:schemaRef ds:uri="http://www.w3.org/XML/1998/namespace"/>
    <ds:schemaRef ds:uri="http://purl.org/dc/dcmitype/"/>
  </ds:schemaRefs>
</ds:datastoreItem>
</file>

<file path=customXml/itemProps4.xml><?xml version="1.0" encoding="utf-8"?>
<ds:datastoreItem xmlns:ds="http://schemas.openxmlformats.org/officeDocument/2006/customXml" ds:itemID="{D4A9E76F-8603-4280-9C34-C69F2ACA1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Model policy &amp; procedure</vt:lpstr>
    </vt:vector>
  </TitlesOfParts>
  <Company>NYCC</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&amp; procedure</dc:title>
  <dc:subject>Model policy and procedure</dc:subject>
  <dc:creator>Kate Earnshaw</dc:creator>
  <cp:keywords/>
  <dc:description/>
  <cp:lastModifiedBy>Mrs Watson</cp:lastModifiedBy>
  <cp:revision>2</cp:revision>
  <cp:lastPrinted>2024-11-11T10:38:00Z</cp:lastPrinted>
  <dcterms:created xsi:type="dcterms:W3CDTF">2025-08-27T12:59:00Z</dcterms:created>
  <dcterms:modified xsi:type="dcterms:W3CDTF">2025-08-27T12:59:00Z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ClassificationContentMarkingFooterShapeIds">
    <vt:lpwstr>4,7,44,45,46,47,48,49</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2022-12-09T15:51:46Z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4e1d4898-1b5d-4716-958e-1fc4233038a2</vt:lpwstr>
  </property>
  <property fmtid="{D5CDD505-2E9C-101B-9397-08002B2CF9AE}" pid="12" name="MSIP_Label_13f27b87-3675-4fb5-85ad-fce3efd3a6b0_ContentBits">
    <vt:lpwstr>2</vt:lpwstr>
  </property>
  <property fmtid="{D5CDD505-2E9C-101B-9397-08002B2CF9AE}" pid="13" name="MediaServiceImageTags">
    <vt:lpwstr/>
  </property>
  <property fmtid="{D5CDD505-2E9C-101B-9397-08002B2CF9AE}" pid="14" name="Order">
    <vt:r8>92800</vt:r8>
  </property>
</Properties>
</file>